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B7D07" w14:textId="77777777" w:rsidR="00C64B1B" w:rsidRDefault="00C64B1B" w:rsidP="00F03561">
      <w:pPr>
        <w:jc w:val="both"/>
        <w:rPr>
          <w:rFonts w:asciiTheme="minorHAnsi" w:hAnsiTheme="minorHAnsi" w:cstheme="minorHAnsi"/>
          <w:sz w:val="20"/>
          <w:szCs w:val="20"/>
        </w:rPr>
      </w:pPr>
    </w:p>
    <w:p w14:paraId="601B7C4E" w14:textId="1379B51B" w:rsidR="007553F5" w:rsidRPr="007553F5" w:rsidRDefault="007553F5" w:rsidP="007553F5">
      <w:pPr>
        <w:jc w:val="center"/>
        <w:rPr>
          <w:rFonts w:asciiTheme="minorHAnsi" w:hAnsiTheme="minorHAnsi" w:cstheme="minorHAnsi"/>
          <w:b/>
          <w:sz w:val="20"/>
          <w:szCs w:val="20"/>
        </w:rPr>
      </w:pPr>
      <w:r>
        <w:rPr>
          <w:rFonts w:asciiTheme="minorHAnsi" w:hAnsiTheme="minorHAnsi" w:cstheme="minorHAnsi"/>
          <w:b/>
          <w:sz w:val="20"/>
          <w:szCs w:val="20"/>
        </w:rPr>
        <w:t>Zestawienie uwag do p</w:t>
      </w:r>
      <w:r w:rsidRPr="007553F5">
        <w:rPr>
          <w:rFonts w:asciiTheme="minorHAnsi" w:hAnsiTheme="minorHAnsi" w:cstheme="minorHAnsi"/>
          <w:b/>
          <w:sz w:val="20"/>
          <w:szCs w:val="20"/>
        </w:rPr>
        <w:t>rojekt</w:t>
      </w:r>
      <w:r>
        <w:rPr>
          <w:rFonts w:asciiTheme="minorHAnsi" w:hAnsiTheme="minorHAnsi" w:cstheme="minorHAnsi"/>
          <w:b/>
          <w:sz w:val="20"/>
          <w:szCs w:val="20"/>
        </w:rPr>
        <w:t>u</w:t>
      </w:r>
      <w:r w:rsidRPr="007553F5">
        <w:rPr>
          <w:rFonts w:asciiTheme="minorHAnsi" w:hAnsiTheme="minorHAnsi" w:cstheme="minorHAnsi"/>
          <w:b/>
          <w:sz w:val="20"/>
          <w:szCs w:val="20"/>
        </w:rPr>
        <w:t xml:space="preserve"> rozporządzenia Ministra Cyfryzacji w sprawie warunków technicznych, jakim powinny odpowiadać</w:t>
      </w:r>
    </w:p>
    <w:p w14:paraId="18C1DBD7" w14:textId="3F2585FB" w:rsidR="007553F5" w:rsidRPr="002D6653" w:rsidRDefault="007553F5" w:rsidP="007553F5">
      <w:pPr>
        <w:jc w:val="center"/>
        <w:rPr>
          <w:rFonts w:asciiTheme="minorHAnsi" w:hAnsiTheme="minorHAnsi" w:cstheme="minorHAnsi"/>
          <w:sz w:val="20"/>
          <w:szCs w:val="20"/>
        </w:rPr>
      </w:pPr>
      <w:r w:rsidRPr="007553F5">
        <w:rPr>
          <w:rFonts w:asciiTheme="minorHAnsi" w:hAnsiTheme="minorHAnsi" w:cstheme="minorHAnsi"/>
          <w:b/>
          <w:sz w:val="20"/>
          <w:szCs w:val="20"/>
        </w:rPr>
        <w:t>kanały technologiczne</w:t>
      </w:r>
      <w:r>
        <w:rPr>
          <w:rFonts w:asciiTheme="minorHAnsi" w:hAnsiTheme="minorHAnsi" w:cstheme="minorHAnsi"/>
          <w:b/>
          <w:sz w:val="20"/>
          <w:szCs w:val="20"/>
        </w:rPr>
        <w:t xml:space="preserve"> - opiniowanie</w:t>
      </w:r>
    </w:p>
    <w:tbl>
      <w:tblPr>
        <w:tblW w:w="15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
        <w:gridCol w:w="1791"/>
        <w:gridCol w:w="1990"/>
        <w:gridCol w:w="5910"/>
        <w:gridCol w:w="4993"/>
      </w:tblGrid>
      <w:tr w:rsidR="001A3428" w:rsidRPr="002D6653" w14:paraId="5B3B7D0D" w14:textId="77777777" w:rsidTr="0D9F930C">
        <w:trPr>
          <w:trHeight w:val="976"/>
        </w:trPr>
        <w:tc>
          <w:tcPr>
            <w:tcW w:w="892" w:type="dxa"/>
            <w:shd w:val="clear" w:color="auto" w:fill="auto"/>
            <w:vAlign w:val="center"/>
          </w:tcPr>
          <w:p w14:paraId="5B3B7D08" w14:textId="77777777" w:rsidR="001A3428" w:rsidRPr="002D6653" w:rsidRDefault="001A3428" w:rsidP="00F03561">
            <w:pPr>
              <w:jc w:val="both"/>
              <w:rPr>
                <w:rFonts w:asciiTheme="minorHAnsi" w:hAnsiTheme="minorHAnsi" w:cstheme="minorHAnsi"/>
                <w:b/>
                <w:sz w:val="20"/>
                <w:szCs w:val="20"/>
              </w:rPr>
            </w:pPr>
            <w:r w:rsidRPr="002D6653">
              <w:rPr>
                <w:rFonts w:asciiTheme="minorHAnsi" w:hAnsiTheme="minorHAnsi" w:cstheme="minorHAnsi"/>
                <w:b/>
                <w:sz w:val="20"/>
                <w:szCs w:val="20"/>
              </w:rPr>
              <w:t>Lp.</w:t>
            </w:r>
          </w:p>
        </w:tc>
        <w:tc>
          <w:tcPr>
            <w:tcW w:w="1791" w:type="dxa"/>
            <w:shd w:val="clear" w:color="auto" w:fill="auto"/>
            <w:vAlign w:val="center"/>
          </w:tcPr>
          <w:p w14:paraId="5B3B7D09" w14:textId="71D363DB" w:rsidR="001A3428" w:rsidRPr="002D6653" w:rsidRDefault="00540021" w:rsidP="00F03561">
            <w:pPr>
              <w:jc w:val="both"/>
              <w:rPr>
                <w:rFonts w:asciiTheme="minorHAnsi" w:hAnsiTheme="minorHAnsi" w:cstheme="minorHAnsi"/>
                <w:b/>
                <w:sz w:val="20"/>
                <w:szCs w:val="20"/>
              </w:rPr>
            </w:pPr>
            <w:r>
              <w:rPr>
                <w:rFonts w:asciiTheme="minorHAnsi" w:hAnsiTheme="minorHAnsi" w:cstheme="minorHAnsi"/>
                <w:b/>
                <w:sz w:val="20"/>
                <w:szCs w:val="20"/>
              </w:rPr>
              <w:t>Podmiot</w:t>
            </w:r>
            <w:r w:rsidR="001A3428" w:rsidRPr="002D6653">
              <w:rPr>
                <w:rFonts w:asciiTheme="minorHAnsi" w:hAnsiTheme="minorHAnsi" w:cstheme="minorHAnsi"/>
                <w:b/>
                <w:sz w:val="20"/>
                <w:szCs w:val="20"/>
              </w:rPr>
              <w:t xml:space="preserve"> wnoszący uwagi</w:t>
            </w:r>
          </w:p>
        </w:tc>
        <w:tc>
          <w:tcPr>
            <w:tcW w:w="1990" w:type="dxa"/>
            <w:shd w:val="clear" w:color="auto" w:fill="auto"/>
            <w:vAlign w:val="center"/>
          </w:tcPr>
          <w:p w14:paraId="5B3B7D0A" w14:textId="77777777" w:rsidR="001A3428" w:rsidRPr="002D6653" w:rsidRDefault="001A3428" w:rsidP="00F03561">
            <w:pPr>
              <w:jc w:val="both"/>
              <w:rPr>
                <w:rFonts w:asciiTheme="minorHAnsi" w:hAnsiTheme="minorHAnsi" w:cstheme="minorHAnsi"/>
                <w:b/>
                <w:sz w:val="20"/>
                <w:szCs w:val="20"/>
              </w:rPr>
            </w:pPr>
            <w:r w:rsidRPr="002D6653">
              <w:rPr>
                <w:rFonts w:asciiTheme="minorHAnsi" w:hAnsiTheme="minorHAnsi" w:cstheme="minorHAnsi"/>
                <w:b/>
                <w:sz w:val="20"/>
                <w:szCs w:val="20"/>
              </w:rPr>
              <w:t>Jednostka redakcyjna, do której wnoszone są uwagi</w:t>
            </w:r>
          </w:p>
        </w:tc>
        <w:tc>
          <w:tcPr>
            <w:tcW w:w="5910" w:type="dxa"/>
            <w:shd w:val="clear" w:color="auto" w:fill="auto"/>
            <w:vAlign w:val="center"/>
          </w:tcPr>
          <w:p w14:paraId="5B3B7D0B" w14:textId="77777777" w:rsidR="001A3428" w:rsidRPr="002D6653" w:rsidRDefault="001A3428" w:rsidP="00F03561">
            <w:pPr>
              <w:jc w:val="both"/>
              <w:rPr>
                <w:rFonts w:asciiTheme="minorHAnsi" w:hAnsiTheme="minorHAnsi" w:cstheme="minorHAnsi"/>
                <w:b/>
                <w:sz w:val="20"/>
                <w:szCs w:val="20"/>
              </w:rPr>
            </w:pPr>
            <w:r w:rsidRPr="002D6653">
              <w:rPr>
                <w:rFonts w:asciiTheme="minorHAnsi" w:hAnsiTheme="minorHAnsi" w:cstheme="minorHAnsi"/>
                <w:b/>
                <w:sz w:val="20"/>
                <w:szCs w:val="20"/>
              </w:rPr>
              <w:t>Treść uwagi</w:t>
            </w:r>
          </w:p>
        </w:tc>
        <w:tc>
          <w:tcPr>
            <w:tcW w:w="4993" w:type="dxa"/>
            <w:vAlign w:val="center"/>
          </w:tcPr>
          <w:p w14:paraId="5B3B7D0C" w14:textId="1A99B5FF" w:rsidR="001A3428" w:rsidRPr="002D6653" w:rsidRDefault="001A3428" w:rsidP="001259FD">
            <w:pPr>
              <w:jc w:val="both"/>
              <w:rPr>
                <w:rFonts w:asciiTheme="minorHAnsi" w:hAnsiTheme="minorHAnsi" w:cstheme="minorHAnsi"/>
                <w:b/>
                <w:sz w:val="20"/>
                <w:szCs w:val="20"/>
              </w:rPr>
            </w:pPr>
            <w:r w:rsidRPr="002D6653">
              <w:rPr>
                <w:rFonts w:asciiTheme="minorHAnsi" w:hAnsiTheme="minorHAnsi" w:cstheme="minorHAnsi"/>
                <w:b/>
                <w:sz w:val="20"/>
                <w:szCs w:val="20"/>
              </w:rPr>
              <w:t>Stanowisko KPRM</w:t>
            </w:r>
          </w:p>
        </w:tc>
      </w:tr>
      <w:tr w:rsidR="00770919" w:rsidRPr="002D6653" w14:paraId="09D483C4" w14:textId="77777777" w:rsidTr="00620EE5">
        <w:trPr>
          <w:trHeight w:val="465"/>
        </w:trPr>
        <w:tc>
          <w:tcPr>
            <w:tcW w:w="892" w:type="dxa"/>
            <w:shd w:val="clear" w:color="auto" w:fill="auto"/>
          </w:tcPr>
          <w:p w14:paraId="40E2FABC" w14:textId="2EE5B3B8" w:rsidR="00770919" w:rsidRPr="00B71279" w:rsidRDefault="00770919" w:rsidP="00770919">
            <w:pPr>
              <w:spacing w:before="120" w:after="120"/>
              <w:jc w:val="both"/>
              <w:rPr>
                <w:rFonts w:asciiTheme="minorHAnsi" w:hAnsiTheme="minorHAnsi" w:cstheme="minorHAnsi"/>
                <w:b/>
                <w:sz w:val="20"/>
                <w:szCs w:val="20"/>
              </w:rPr>
            </w:pPr>
            <w:r w:rsidRPr="00B71279">
              <w:rPr>
                <w:rFonts w:asciiTheme="minorHAnsi" w:hAnsiTheme="minorHAnsi" w:cstheme="minorHAnsi"/>
                <w:b/>
                <w:sz w:val="20"/>
                <w:szCs w:val="20"/>
              </w:rPr>
              <w:t>1</w:t>
            </w:r>
          </w:p>
        </w:tc>
        <w:tc>
          <w:tcPr>
            <w:tcW w:w="1791" w:type="dxa"/>
            <w:shd w:val="clear" w:color="auto" w:fill="auto"/>
            <w:vAlign w:val="center"/>
          </w:tcPr>
          <w:p w14:paraId="5EB9E7DF" w14:textId="23583504" w:rsidR="00770919" w:rsidRPr="002C5118" w:rsidRDefault="002C5118" w:rsidP="002C5118">
            <w:pPr>
              <w:spacing w:before="60" w:after="60"/>
              <w:rPr>
                <w:rFonts w:asciiTheme="minorHAnsi" w:hAnsiTheme="minorHAnsi" w:cstheme="minorHAnsi"/>
                <w:sz w:val="20"/>
                <w:szCs w:val="20"/>
              </w:rPr>
            </w:pPr>
            <w:r w:rsidRPr="002C5118">
              <w:rPr>
                <w:rFonts w:asciiTheme="minorHAnsi" w:hAnsiTheme="minorHAnsi" w:cstheme="minorHAnsi"/>
                <w:color w:val="000000" w:themeColor="text1"/>
                <w:sz w:val="20"/>
                <w:szCs w:val="20"/>
              </w:rPr>
              <w:t>Generalna Dyrekcja Dróg Krajowych i Autostrad</w:t>
            </w:r>
            <w:r>
              <w:rPr>
                <w:rFonts w:asciiTheme="minorHAnsi" w:hAnsiTheme="minorHAnsi" w:cstheme="minorHAnsi"/>
                <w:color w:val="000000" w:themeColor="text1"/>
                <w:sz w:val="20"/>
                <w:szCs w:val="20"/>
              </w:rPr>
              <w:t xml:space="preserve">, dalej </w:t>
            </w:r>
            <w:r w:rsidR="0044786E">
              <w:rPr>
                <w:rFonts w:asciiTheme="minorHAnsi" w:hAnsiTheme="minorHAnsi" w:cstheme="minorHAnsi"/>
                <w:color w:val="000000" w:themeColor="text1"/>
                <w:sz w:val="20"/>
                <w:szCs w:val="20"/>
              </w:rPr>
              <w:t>„</w:t>
            </w:r>
            <w:r w:rsidRPr="002C5118">
              <w:rPr>
                <w:rFonts w:asciiTheme="minorHAnsi" w:hAnsiTheme="minorHAnsi" w:cstheme="minorHAnsi"/>
                <w:color w:val="000000" w:themeColor="text1"/>
                <w:sz w:val="20"/>
                <w:szCs w:val="20"/>
              </w:rPr>
              <w:t>GDDKiA</w:t>
            </w:r>
            <w:r w:rsidR="0044786E">
              <w:rPr>
                <w:rFonts w:asciiTheme="minorHAnsi" w:hAnsiTheme="minorHAnsi" w:cstheme="minorHAnsi"/>
                <w:color w:val="000000" w:themeColor="text1"/>
                <w:sz w:val="20"/>
                <w:szCs w:val="20"/>
              </w:rPr>
              <w:t>”</w:t>
            </w:r>
          </w:p>
        </w:tc>
        <w:tc>
          <w:tcPr>
            <w:tcW w:w="1990" w:type="dxa"/>
            <w:shd w:val="clear" w:color="auto" w:fill="auto"/>
            <w:vAlign w:val="center"/>
          </w:tcPr>
          <w:p w14:paraId="1D012D3B" w14:textId="08BB8373" w:rsidR="00770919" w:rsidRPr="002D6653" w:rsidRDefault="00DF38A9" w:rsidP="00770919">
            <w:pPr>
              <w:jc w:val="both"/>
              <w:rPr>
                <w:rFonts w:asciiTheme="minorHAnsi" w:hAnsiTheme="minorHAnsi" w:cstheme="minorHAnsi"/>
                <w:bCs/>
                <w:sz w:val="20"/>
                <w:szCs w:val="20"/>
              </w:rPr>
            </w:pPr>
            <w:r>
              <w:rPr>
                <w:rFonts w:asciiTheme="minorHAnsi" w:hAnsiTheme="minorHAnsi" w:cstheme="minorHAnsi"/>
                <w:bCs/>
                <w:sz w:val="20"/>
                <w:szCs w:val="20"/>
              </w:rPr>
              <w:t>Uwaga ogólna</w:t>
            </w:r>
          </w:p>
        </w:tc>
        <w:tc>
          <w:tcPr>
            <w:tcW w:w="5910" w:type="dxa"/>
            <w:shd w:val="clear" w:color="auto" w:fill="auto"/>
            <w:vAlign w:val="center"/>
          </w:tcPr>
          <w:p w14:paraId="5130F465" w14:textId="56BE6B08" w:rsidR="00770919" w:rsidRPr="002D6653" w:rsidRDefault="00770919" w:rsidP="00770919">
            <w:pPr>
              <w:jc w:val="both"/>
              <w:rPr>
                <w:rFonts w:asciiTheme="minorHAnsi" w:hAnsiTheme="minorHAnsi" w:cstheme="minorHAnsi"/>
                <w:bCs/>
                <w:sz w:val="20"/>
                <w:szCs w:val="20"/>
              </w:rPr>
            </w:pPr>
            <w:r w:rsidRPr="00A0042B">
              <w:rPr>
                <w:rFonts w:asciiTheme="minorHAnsi" w:hAnsiTheme="minorHAnsi" w:cstheme="minorHAnsi"/>
                <w:color w:val="000000" w:themeColor="text1"/>
                <w:sz w:val="20"/>
              </w:rPr>
              <w:t>Proponuję się rozważenie wprowadzenia regulacji określającej obowiązek lokalizowania infrastruktury telekomunikacyjnej oraz elektroenergetycznej w istniejących kanałach technologicznych (jeśli istnieją w nich wolne zasoby). Zapewni to pełne wykorzystanie wybudowanych kanałów technologicznych.</w:t>
            </w:r>
          </w:p>
        </w:tc>
        <w:tc>
          <w:tcPr>
            <w:tcW w:w="4993" w:type="dxa"/>
          </w:tcPr>
          <w:p w14:paraId="621D0691" w14:textId="77777777" w:rsidR="00770919" w:rsidRPr="00D55A3D" w:rsidRDefault="00770919" w:rsidP="00770919">
            <w:pPr>
              <w:snapToGrid w:val="0"/>
              <w:jc w:val="both"/>
              <w:rPr>
                <w:rFonts w:asciiTheme="minorHAnsi" w:hAnsiTheme="minorHAnsi" w:cstheme="minorHAnsi"/>
                <w:b/>
                <w:bCs/>
                <w:color w:val="000000" w:themeColor="text1"/>
                <w:sz w:val="20"/>
              </w:rPr>
            </w:pPr>
            <w:r w:rsidRPr="00D55A3D">
              <w:rPr>
                <w:rFonts w:asciiTheme="minorHAnsi" w:hAnsiTheme="minorHAnsi" w:cstheme="minorHAnsi"/>
                <w:b/>
                <w:bCs/>
                <w:color w:val="000000" w:themeColor="text1"/>
                <w:sz w:val="20"/>
              </w:rPr>
              <w:t>Uwaga nieuwzględniona</w:t>
            </w:r>
          </w:p>
          <w:p w14:paraId="0E91E1C3" w14:textId="77777777" w:rsidR="00770919" w:rsidRDefault="00770919" w:rsidP="00770919">
            <w:pPr>
              <w:snapToGrid w:val="0"/>
              <w:jc w:val="both"/>
              <w:rPr>
                <w:rFonts w:asciiTheme="minorHAnsi" w:hAnsiTheme="minorHAnsi" w:cstheme="minorHAnsi"/>
                <w:bCs/>
                <w:color w:val="000000" w:themeColor="text1"/>
                <w:sz w:val="20"/>
              </w:rPr>
            </w:pPr>
          </w:p>
          <w:p w14:paraId="5E1C96DD" w14:textId="21E27329" w:rsidR="00770919" w:rsidRPr="004D4B74" w:rsidRDefault="00770919" w:rsidP="00770919">
            <w:pPr>
              <w:jc w:val="both"/>
              <w:rPr>
                <w:rFonts w:asciiTheme="minorHAnsi" w:hAnsiTheme="minorHAnsi" w:cstheme="minorHAnsi"/>
                <w:bCs/>
                <w:sz w:val="20"/>
                <w:szCs w:val="20"/>
              </w:rPr>
            </w:pPr>
            <w:r w:rsidRPr="00A0042B">
              <w:rPr>
                <w:rFonts w:asciiTheme="minorHAnsi" w:hAnsiTheme="minorHAnsi" w:cstheme="minorHAnsi"/>
                <w:bCs/>
                <w:color w:val="000000" w:themeColor="text1"/>
                <w:sz w:val="20"/>
              </w:rPr>
              <w:t xml:space="preserve">Uwaga poza zakresem delegacji ustawowej do wydania rozporządzenia. Kwestie objęte uwagą regulują przepisy ustawy </w:t>
            </w:r>
            <w:r w:rsidR="00346124">
              <w:rPr>
                <w:rFonts w:asciiTheme="minorHAnsi" w:hAnsiTheme="minorHAnsi" w:cstheme="minorHAnsi"/>
                <w:bCs/>
                <w:color w:val="000000" w:themeColor="text1"/>
                <w:sz w:val="20"/>
              </w:rPr>
              <w:t xml:space="preserve">z dnia 21 marca 1985 r. </w:t>
            </w:r>
            <w:r w:rsidRPr="00A0042B">
              <w:rPr>
                <w:rFonts w:asciiTheme="minorHAnsi" w:hAnsiTheme="minorHAnsi" w:cstheme="minorHAnsi"/>
                <w:bCs/>
                <w:color w:val="000000" w:themeColor="text1"/>
                <w:sz w:val="20"/>
              </w:rPr>
              <w:t>o drogach publicznych</w:t>
            </w:r>
            <w:r w:rsidR="00346124">
              <w:rPr>
                <w:rFonts w:asciiTheme="minorHAnsi" w:hAnsiTheme="minorHAnsi" w:cstheme="minorHAnsi"/>
                <w:bCs/>
                <w:color w:val="000000" w:themeColor="text1"/>
                <w:sz w:val="20"/>
              </w:rPr>
              <w:t xml:space="preserve"> (Dz.</w:t>
            </w:r>
            <w:r w:rsidR="0044786E">
              <w:rPr>
                <w:rFonts w:asciiTheme="minorHAnsi" w:hAnsiTheme="minorHAnsi" w:cstheme="minorHAnsi"/>
                <w:bCs/>
                <w:color w:val="000000" w:themeColor="text1"/>
                <w:sz w:val="20"/>
              </w:rPr>
              <w:t> </w:t>
            </w:r>
            <w:r w:rsidR="00346124">
              <w:rPr>
                <w:rFonts w:asciiTheme="minorHAnsi" w:hAnsiTheme="minorHAnsi" w:cstheme="minorHAnsi"/>
                <w:bCs/>
                <w:color w:val="000000" w:themeColor="text1"/>
                <w:sz w:val="20"/>
              </w:rPr>
              <w:t xml:space="preserve">U. z 2021 r. poz. 1376, z </w:t>
            </w:r>
            <w:proofErr w:type="spellStart"/>
            <w:r w:rsidR="00346124">
              <w:rPr>
                <w:rFonts w:asciiTheme="minorHAnsi" w:hAnsiTheme="minorHAnsi" w:cstheme="minorHAnsi"/>
                <w:bCs/>
                <w:color w:val="000000" w:themeColor="text1"/>
                <w:sz w:val="20"/>
              </w:rPr>
              <w:t>późn</w:t>
            </w:r>
            <w:proofErr w:type="spellEnd"/>
            <w:r w:rsidR="00346124">
              <w:rPr>
                <w:rFonts w:asciiTheme="minorHAnsi" w:hAnsiTheme="minorHAnsi" w:cstheme="minorHAnsi"/>
                <w:bCs/>
                <w:color w:val="000000" w:themeColor="text1"/>
                <w:sz w:val="20"/>
              </w:rPr>
              <w:t>. zm.)</w:t>
            </w:r>
            <w:r>
              <w:rPr>
                <w:rFonts w:asciiTheme="minorHAnsi" w:hAnsiTheme="minorHAnsi" w:cstheme="minorHAnsi"/>
                <w:bCs/>
                <w:color w:val="000000" w:themeColor="text1"/>
                <w:sz w:val="20"/>
              </w:rPr>
              <w:t>.</w:t>
            </w:r>
            <w:r w:rsidRPr="00A0042B">
              <w:rPr>
                <w:rFonts w:asciiTheme="minorHAnsi" w:hAnsiTheme="minorHAnsi" w:cstheme="minorHAnsi"/>
                <w:bCs/>
                <w:color w:val="000000" w:themeColor="text1"/>
                <w:sz w:val="20"/>
              </w:rPr>
              <w:t xml:space="preserve"> </w:t>
            </w:r>
          </w:p>
        </w:tc>
      </w:tr>
      <w:tr w:rsidR="00770919" w:rsidRPr="002D6653" w14:paraId="3B8E8F7C" w14:textId="77777777" w:rsidTr="00620EE5">
        <w:trPr>
          <w:trHeight w:val="465"/>
        </w:trPr>
        <w:tc>
          <w:tcPr>
            <w:tcW w:w="892" w:type="dxa"/>
            <w:shd w:val="clear" w:color="auto" w:fill="auto"/>
          </w:tcPr>
          <w:p w14:paraId="2CA9528F" w14:textId="3D2C5FC1" w:rsidR="00770919" w:rsidRPr="002D6653" w:rsidRDefault="00770919" w:rsidP="00770919">
            <w:pPr>
              <w:spacing w:before="120" w:after="120"/>
              <w:jc w:val="both"/>
              <w:rPr>
                <w:rFonts w:asciiTheme="minorHAnsi" w:hAnsiTheme="minorHAnsi" w:cstheme="minorHAnsi"/>
                <w:b/>
                <w:sz w:val="20"/>
                <w:szCs w:val="20"/>
              </w:rPr>
            </w:pPr>
            <w:r>
              <w:rPr>
                <w:rFonts w:asciiTheme="minorHAnsi" w:hAnsiTheme="minorHAnsi" w:cstheme="minorHAnsi"/>
                <w:b/>
                <w:sz w:val="20"/>
                <w:szCs w:val="20"/>
              </w:rPr>
              <w:t>2</w:t>
            </w:r>
          </w:p>
        </w:tc>
        <w:tc>
          <w:tcPr>
            <w:tcW w:w="1791" w:type="dxa"/>
            <w:shd w:val="clear" w:color="auto" w:fill="auto"/>
            <w:vAlign w:val="center"/>
          </w:tcPr>
          <w:p w14:paraId="76D0FAA2" w14:textId="29990178" w:rsidR="00770919" w:rsidRPr="002C5118" w:rsidRDefault="002C5118" w:rsidP="00770919">
            <w:pPr>
              <w:spacing w:before="60" w:after="60"/>
              <w:jc w:val="both"/>
              <w:rPr>
                <w:rFonts w:asciiTheme="minorHAnsi" w:hAnsiTheme="minorHAnsi" w:cstheme="minorHAnsi"/>
                <w:sz w:val="20"/>
                <w:szCs w:val="20"/>
              </w:rPr>
            </w:pPr>
            <w:r w:rsidRPr="002C5118">
              <w:rPr>
                <w:rFonts w:asciiTheme="minorHAnsi" w:hAnsiTheme="minorHAnsi" w:cstheme="minorHAnsi"/>
                <w:color w:val="000000" w:themeColor="text1"/>
                <w:sz w:val="20"/>
                <w:szCs w:val="20"/>
              </w:rPr>
              <w:t>GDDKiA</w:t>
            </w:r>
          </w:p>
        </w:tc>
        <w:tc>
          <w:tcPr>
            <w:tcW w:w="1990" w:type="dxa"/>
            <w:shd w:val="clear" w:color="auto" w:fill="auto"/>
            <w:vAlign w:val="center"/>
          </w:tcPr>
          <w:p w14:paraId="4A2C0C04" w14:textId="609E9CD0" w:rsidR="00770919" w:rsidRPr="002D6653" w:rsidRDefault="00DF38A9" w:rsidP="00770919">
            <w:pPr>
              <w:jc w:val="both"/>
              <w:rPr>
                <w:rFonts w:asciiTheme="minorHAnsi" w:hAnsiTheme="minorHAnsi" w:cstheme="minorHAnsi"/>
                <w:bCs/>
                <w:sz w:val="20"/>
                <w:szCs w:val="20"/>
              </w:rPr>
            </w:pPr>
            <w:r>
              <w:rPr>
                <w:rFonts w:asciiTheme="minorHAnsi" w:hAnsiTheme="minorHAnsi" w:cstheme="minorHAnsi"/>
                <w:bCs/>
                <w:sz w:val="20"/>
                <w:szCs w:val="20"/>
              </w:rPr>
              <w:t>Uwaga ogólna</w:t>
            </w:r>
          </w:p>
        </w:tc>
        <w:tc>
          <w:tcPr>
            <w:tcW w:w="5910" w:type="dxa"/>
            <w:shd w:val="clear" w:color="auto" w:fill="auto"/>
            <w:vAlign w:val="center"/>
          </w:tcPr>
          <w:p w14:paraId="6117CCBB" w14:textId="77777777" w:rsidR="00770919" w:rsidRPr="00A0042B" w:rsidRDefault="00770919" w:rsidP="00770919">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nawiązując do toczących się prac legislacyjnych dotyczących projektów rozporządzeń w sprawie:</w:t>
            </w:r>
          </w:p>
          <w:p w14:paraId="69160955" w14:textId="77777777" w:rsidR="00770919" w:rsidRPr="00A0042B" w:rsidRDefault="00770919" w:rsidP="00770919">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1)</w:t>
            </w:r>
            <w:r w:rsidRPr="00A0042B">
              <w:rPr>
                <w:rFonts w:asciiTheme="minorHAnsi" w:hAnsiTheme="minorHAnsi" w:cstheme="minorHAnsi"/>
                <w:color w:val="000000" w:themeColor="text1"/>
                <w:sz w:val="20"/>
              </w:rPr>
              <w:tab/>
              <w:t>warunków technicznych jakim powinny odpowiadać telekomunikacyjne obiekty budowlane i ich usytuowanie, oraz</w:t>
            </w:r>
          </w:p>
          <w:p w14:paraId="16D5D657" w14:textId="511790E6" w:rsidR="00770919" w:rsidRPr="002D6653" w:rsidRDefault="00770919" w:rsidP="00770919">
            <w:pPr>
              <w:jc w:val="both"/>
              <w:rPr>
                <w:rFonts w:asciiTheme="minorHAnsi" w:hAnsiTheme="minorHAnsi" w:cstheme="minorHAnsi"/>
                <w:bCs/>
                <w:sz w:val="20"/>
                <w:szCs w:val="20"/>
              </w:rPr>
            </w:pPr>
            <w:r w:rsidRPr="00A0042B">
              <w:rPr>
                <w:rFonts w:asciiTheme="minorHAnsi" w:hAnsiTheme="minorHAnsi" w:cstheme="minorHAnsi"/>
                <w:color w:val="000000" w:themeColor="text1"/>
                <w:sz w:val="20"/>
              </w:rPr>
              <w:t>2)</w:t>
            </w:r>
            <w:r w:rsidRPr="00A0042B">
              <w:rPr>
                <w:rFonts w:asciiTheme="minorHAnsi" w:hAnsiTheme="minorHAnsi" w:cstheme="minorHAnsi"/>
                <w:color w:val="000000" w:themeColor="text1"/>
                <w:sz w:val="20"/>
              </w:rPr>
              <w:tab/>
              <w:t>warunków technicznych, jakim powinny odpowiadać kanały technologiczne zwracam się z uprzejmą prośbą o rozważenie wprowadzenia regulacji umożliwiających rezygnację z obowiązku lokalizacji i budowy kanałów technologicznych w pasie drogowym w</w:t>
            </w:r>
            <w:r w:rsidR="0044786E">
              <w:rPr>
                <w:rFonts w:asciiTheme="minorHAnsi" w:hAnsiTheme="minorHAnsi" w:cstheme="minorHAnsi"/>
                <w:color w:val="000000" w:themeColor="text1"/>
                <w:sz w:val="20"/>
              </w:rPr>
              <w:t> </w:t>
            </w:r>
            <w:r w:rsidRPr="00A0042B">
              <w:rPr>
                <w:rFonts w:asciiTheme="minorHAnsi" w:hAnsiTheme="minorHAnsi" w:cstheme="minorHAnsi"/>
                <w:color w:val="000000" w:themeColor="text1"/>
                <w:sz w:val="20"/>
              </w:rPr>
              <w:t>trakcie budowy lub przebudowy dróg publicznych w związku z</w:t>
            </w:r>
            <w:r w:rsidR="0044786E">
              <w:rPr>
                <w:rFonts w:asciiTheme="minorHAnsi" w:hAnsiTheme="minorHAnsi" w:cstheme="minorHAnsi"/>
                <w:color w:val="000000" w:themeColor="text1"/>
                <w:sz w:val="20"/>
              </w:rPr>
              <w:t> </w:t>
            </w:r>
            <w:r w:rsidRPr="00A0042B">
              <w:rPr>
                <w:rFonts w:asciiTheme="minorHAnsi" w:hAnsiTheme="minorHAnsi" w:cstheme="minorHAnsi"/>
                <w:color w:val="000000" w:themeColor="text1"/>
                <w:sz w:val="20"/>
              </w:rPr>
              <w:t>wysokimi kosztami budowy takich kanałów, a także braku ich późniejszego wykorzystania np. przez jednostki samorządu terytorialnego, zwłaszcza w przypadku gdy budowa lub przebudowa drogi dotyczy krótkiego odcinka, a pozostałe odcinki drogi nie są wyposażone w kanał technologiczny (kanał technologiczny występowałby tylko na tym budowanym lub przebudowywanym odcinku drogi, nie byłby elementem sieci kanałów technologicznych). (…)</w:t>
            </w:r>
          </w:p>
        </w:tc>
        <w:tc>
          <w:tcPr>
            <w:tcW w:w="4993" w:type="dxa"/>
          </w:tcPr>
          <w:p w14:paraId="31748B2B" w14:textId="77777777" w:rsidR="00770919" w:rsidRPr="00D55A3D" w:rsidRDefault="00770919" w:rsidP="00770919">
            <w:pPr>
              <w:snapToGrid w:val="0"/>
              <w:jc w:val="both"/>
              <w:rPr>
                <w:rFonts w:asciiTheme="minorHAnsi" w:hAnsiTheme="minorHAnsi" w:cstheme="minorHAnsi"/>
                <w:b/>
                <w:bCs/>
                <w:color w:val="000000" w:themeColor="text1"/>
                <w:sz w:val="20"/>
              </w:rPr>
            </w:pPr>
            <w:r w:rsidRPr="00D55A3D">
              <w:rPr>
                <w:rFonts w:asciiTheme="minorHAnsi" w:hAnsiTheme="minorHAnsi" w:cstheme="minorHAnsi"/>
                <w:b/>
                <w:bCs/>
                <w:color w:val="000000" w:themeColor="text1"/>
                <w:sz w:val="20"/>
              </w:rPr>
              <w:t>Uwaga nieuwzględniona</w:t>
            </w:r>
          </w:p>
          <w:p w14:paraId="5F0BCB22" w14:textId="77777777" w:rsidR="00770919" w:rsidRDefault="00770919" w:rsidP="00770919">
            <w:pPr>
              <w:snapToGrid w:val="0"/>
              <w:jc w:val="both"/>
              <w:rPr>
                <w:rFonts w:asciiTheme="minorHAnsi" w:hAnsiTheme="minorHAnsi" w:cstheme="minorHAnsi"/>
                <w:bCs/>
                <w:color w:val="000000" w:themeColor="text1"/>
                <w:sz w:val="20"/>
              </w:rPr>
            </w:pPr>
          </w:p>
          <w:p w14:paraId="248C75C3" w14:textId="1F3B7AD3" w:rsidR="00770919" w:rsidRPr="00757671" w:rsidRDefault="00770919" w:rsidP="00770919">
            <w:pPr>
              <w:spacing w:line="259" w:lineRule="auto"/>
              <w:jc w:val="both"/>
              <w:rPr>
                <w:rFonts w:asciiTheme="minorHAnsi" w:hAnsiTheme="minorHAnsi" w:cstheme="minorBidi"/>
                <w:sz w:val="20"/>
                <w:szCs w:val="20"/>
              </w:rPr>
            </w:pPr>
            <w:r w:rsidRPr="00A0042B">
              <w:rPr>
                <w:rFonts w:asciiTheme="minorHAnsi" w:hAnsiTheme="minorHAnsi" w:cstheme="minorHAnsi"/>
                <w:bCs/>
                <w:color w:val="000000" w:themeColor="text1"/>
                <w:sz w:val="20"/>
              </w:rPr>
              <w:t xml:space="preserve">Uwaga poza zakresem delegacji ustawowej do wydania rozporządzenia. Kwestie objęte uwagą regulują przepisy ustawy </w:t>
            </w:r>
            <w:r w:rsidR="00346124" w:rsidRPr="00346124">
              <w:rPr>
                <w:rFonts w:asciiTheme="minorHAnsi" w:hAnsiTheme="minorHAnsi" w:cstheme="minorHAnsi"/>
                <w:bCs/>
                <w:color w:val="000000" w:themeColor="text1"/>
                <w:sz w:val="20"/>
              </w:rPr>
              <w:t xml:space="preserve">z dnia 21 marca 1985 r. </w:t>
            </w:r>
            <w:r w:rsidRPr="00A0042B">
              <w:rPr>
                <w:rFonts w:asciiTheme="minorHAnsi" w:hAnsiTheme="minorHAnsi" w:cstheme="minorHAnsi"/>
                <w:bCs/>
                <w:color w:val="000000" w:themeColor="text1"/>
                <w:sz w:val="20"/>
              </w:rPr>
              <w:t>o drogach publicznych</w:t>
            </w:r>
            <w:r>
              <w:rPr>
                <w:rFonts w:asciiTheme="minorHAnsi" w:hAnsiTheme="minorHAnsi" w:cstheme="minorHAnsi"/>
                <w:bCs/>
                <w:color w:val="000000" w:themeColor="text1"/>
                <w:sz w:val="20"/>
              </w:rPr>
              <w:t>.</w:t>
            </w:r>
          </w:p>
        </w:tc>
      </w:tr>
      <w:tr w:rsidR="00770919" w:rsidRPr="002D6653" w14:paraId="44D3BF28" w14:textId="77777777" w:rsidTr="0D9F930C">
        <w:trPr>
          <w:trHeight w:val="465"/>
        </w:trPr>
        <w:tc>
          <w:tcPr>
            <w:tcW w:w="892" w:type="dxa"/>
            <w:shd w:val="clear" w:color="auto" w:fill="auto"/>
          </w:tcPr>
          <w:p w14:paraId="5302CCF8" w14:textId="6A6234A5" w:rsidR="00770919" w:rsidRPr="002D6653" w:rsidRDefault="00770919" w:rsidP="00770919">
            <w:pPr>
              <w:spacing w:before="120" w:after="120"/>
              <w:jc w:val="both"/>
              <w:rPr>
                <w:rFonts w:asciiTheme="minorHAnsi" w:hAnsiTheme="minorHAnsi" w:cstheme="minorHAnsi"/>
                <w:b/>
                <w:sz w:val="20"/>
                <w:szCs w:val="20"/>
              </w:rPr>
            </w:pPr>
            <w:r>
              <w:rPr>
                <w:rFonts w:asciiTheme="minorHAnsi" w:hAnsiTheme="minorHAnsi" w:cstheme="minorHAnsi"/>
                <w:b/>
                <w:sz w:val="20"/>
                <w:szCs w:val="20"/>
              </w:rPr>
              <w:t>3</w:t>
            </w:r>
          </w:p>
        </w:tc>
        <w:tc>
          <w:tcPr>
            <w:tcW w:w="1791" w:type="dxa"/>
            <w:shd w:val="clear" w:color="auto" w:fill="auto"/>
          </w:tcPr>
          <w:p w14:paraId="2D7E29C0" w14:textId="62A04E1A" w:rsidR="00770919" w:rsidRPr="002D6653" w:rsidRDefault="002C5118" w:rsidP="00770919">
            <w:pPr>
              <w:spacing w:before="60" w:after="60"/>
              <w:jc w:val="both"/>
              <w:rPr>
                <w:rFonts w:asciiTheme="minorHAnsi" w:hAnsiTheme="minorHAnsi" w:cstheme="minorHAnsi"/>
                <w:sz w:val="20"/>
                <w:szCs w:val="20"/>
              </w:rPr>
            </w:pPr>
            <w:r>
              <w:rPr>
                <w:rFonts w:asciiTheme="minorHAnsi" w:hAnsiTheme="minorHAnsi" w:cstheme="minorHAnsi"/>
                <w:color w:val="000000" w:themeColor="text1"/>
                <w:sz w:val="20"/>
              </w:rPr>
              <w:t>GDDKiA</w:t>
            </w:r>
          </w:p>
        </w:tc>
        <w:tc>
          <w:tcPr>
            <w:tcW w:w="1990" w:type="dxa"/>
            <w:shd w:val="clear" w:color="auto" w:fill="auto"/>
          </w:tcPr>
          <w:p w14:paraId="5C14748E" w14:textId="1C5EA5A7" w:rsidR="00770919" w:rsidRPr="002D6653" w:rsidRDefault="00770919" w:rsidP="00770919">
            <w:pPr>
              <w:jc w:val="both"/>
              <w:rPr>
                <w:rFonts w:asciiTheme="minorHAnsi" w:hAnsiTheme="minorHAnsi" w:cstheme="minorHAnsi"/>
                <w:bCs/>
                <w:sz w:val="20"/>
                <w:szCs w:val="20"/>
              </w:rPr>
            </w:pPr>
            <w:r w:rsidRPr="00A0042B">
              <w:rPr>
                <w:rFonts w:asciiTheme="minorHAnsi" w:hAnsiTheme="minorHAnsi" w:cstheme="minorHAnsi"/>
                <w:color w:val="000000" w:themeColor="text1"/>
                <w:sz w:val="20"/>
              </w:rPr>
              <w:t>§ 3 pkt 4 i 5</w:t>
            </w:r>
          </w:p>
        </w:tc>
        <w:tc>
          <w:tcPr>
            <w:tcW w:w="5910" w:type="dxa"/>
            <w:shd w:val="clear" w:color="auto" w:fill="auto"/>
          </w:tcPr>
          <w:p w14:paraId="17C84235" w14:textId="7605CB6F" w:rsidR="00770919" w:rsidRPr="002D6653" w:rsidRDefault="00770919" w:rsidP="00770919">
            <w:pPr>
              <w:jc w:val="both"/>
              <w:rPr>
                <w:rFonts w:asciiTheme="minorHAnsi" w:hAnsiTheme="minorHAnsi" w:cstheme="minorHAnsi"/>
                <w:bCs/>
                <w:sz w:val="20"/>
                <w:szCs w:val="20"/>
              </w:rPr>
            </w:pPr>
            <w:r w:rsidRPr="00A0042B">
              <w:rPr>
                <w:rFonts w:asciiTheme="minorHAnsi" w:hAnsiTheme="minorHAnsi" w:cstheme="minorHAnsi"/>
                <w:color w:val="000000" w:themeColor="text1"/>
                <w:sz w:val="20"/>
              </w:rPr>
              <w:t>Definicje kanału technologicznego przepustowego oraz kanału technologicznego ulicznego są do siebie bardzo podobne i nie dają możliwości (poza przykładami wprost w nich wymienionymi) na rozróżnienie cech charakterystycznych pozwalających rozróżnić oba rodzaje przepustów. Definicja kanału przepustowego wymaga, aby był on usytuowany pod przeszkodami terenowymi. Z kolei definicja kanału ulicznego nie zawiera tego zastrzeżenia. Skoro przykładem przeszkody terenowej ma być miejsce postojowe przeznaczone dla pojazdów (patrz definicja kanału przepustowego), to równie dobrze za taką przeszkodę można uznać parking przeznaczony dla samochodów osobowych (patrz definicja kanału ulicznego).</w:t>
            </w:r>
          </w:p>
        </w:tc>
        <w:tc>
          <w:tcPr>
            <w:tcW w:w="4993" w:type="dxa"/>
          </w:tcPr>
          <w:p w14:paraId="41C984E0" w14:textId="77777777" w:rsidR="00770919" w:rsidRPr="008D4218" w:rsidRDefault="00770919" w:rsidP="00770919">
            <w:pPr>
              <w:jc w:val="both"/>
              <w:rPr>
                <w:rFonts w:asciiTheme="minorHAnsi" w:hAnsiTheme="minorHAnsi" w:cstheme="minorHAnsi"/>
                <w:b/>
                <w:bCs/>
                <w:color w:val="000000" w:themeColor="text1"/>
                <w:sz w:val="20"/>
              </w:rPr>
            </w:pPr>
            <w:r w:rsidRPr="008D4218">
              <w:rPr>
                <w:rFonts w:asciiTheme="minorHAnsi" w:hAnsiTheme="minorHAnsi" w:cstheme="minorHAnsi"/>
                <w:b/>
                <w:bCs/>
                <w:color w:val="000000" w:themeColor="text1"/>
                <w:sz w:val="20"/>
              </w:rPr>
              <w:t>Uwaga nieuwzględniona</w:t>
            </w:r>
          </w:p>
          <w:p w14:paraId="6AFB6295" w14:textId="77777777" w:rsidR="00770919" w:rsidRDefault="00770919" w:rsidP="00770919">
            <w:pPr>
              <w:jc w:val="both"/>
              <w:rPr>
                <w:rFonts w:asciiTheme="minorHAnsi" w:hAnsiTheme="minorHAnsi" w:cstheme="minorHAnsi"/>
                <w:bCs/>
                <w:color w:val="000000" w:themeColor="text1"/>
                <w:sz w:val="20"/>
              </w:rPr>
            </w:pPr>
          </w:p>
          <w:p w14:paraId="78A09DD4" w14:textId="4901ECD5" w:rsidR="00770919" w:rsidRPr="002D6653" w:rsidRDefault="00770919" w:rsidP="00770919">
            <w:pPr>
              <w:spacing w:line="259" w:lineRule="auto"/>
              <w:jc w:val="both"/>
              <w:rPr>
                <w:rFonts w:asciiTheme="minorHAnsi" w:hAnsiTheme="minorHAnsi" w:cstheme="minorBidi"/>
                <w:b/>
              </w:rPr>
            </w:pPr>
            <w:r w:rsidRPr="00A0042B">
              <w:rPr>
                <w:rFonts w:asciiTheme="minorHAnsi" w:hAnsiTheme="minorHAnsi" w:cstheme="minorHAnsi"/>
                <w:bCs/>
                <w:color w:val="000000" w:themeColor="text1"/>
                <w:sz w:val="20"/>
              </w:rPr>
              <w:t xml:space="preserve">Definicje te są pochodną specyficznych </w:t>
            </w:r>
            <w:r>
              <w:rPr>
                <w:rFonts w:asciiTheme="minorHAnsi" w:hAnsiTheme="minorHAnsi" w:cstheme="minorHAnsi"/>
                <w:bCs/>
                <w:color w:val="000000" w:themeColor="text1"/>
                <w:sz w:val="20"/>
              </w:rPr>
              <w:t>elementów</w:t>
            </w:r>
            <w:r w:rsidRPr="00A0042B">
              <w:rPr>
                <w:rFonts w:asciiTheme="minorHAnsi" w:hAnsiTheme="minorHAnsi" w:cstheme="minorHAnsi"/>
                <w:bCs/>
                <w:color w:val="000000" w:themeColor="text1"/>
                <w:sz w:val="20"/>
              </w:rPr>
              <w:t xml:space="preserve"> pasa drogowego drogi publicznej.</w:t>
            </w:r>
          </w:p>
        </w:tc>
      </w:tr>
      <w:tr w:rsidR="00850254" w:rsidRPr="002D6653" w14:paraId="69CAF817" w14:textId="77777777" w:rsidTr="00A533B9">
        <w:trPr>
          <w:trHeight w:val="465"/>
        </w:trPr>
        <w:tc>
          <w:tcPr>
            <w:tcW w:w="892" w:type="dxa"/>
            <w:shd w:val="clear" w:color="auto" w:fill="auto"/>
          </w:tcPr>
          <w:p w14:paraId="16B8DE57" w14:textId="651AE779" w:rsidR="00850254" w:rsidRDefault="00850254" w:rsidP="00850254">
            <w:pPr>
              <w:spacing w:before="120" w:after="120"/>
              <w:jc w:val="both"/>
              <w:rPr>
                <w:rFonts w:asciiTheme="minorHAnsi" w:hAnsiTheme="minorHAnsi" w:cstheme="minorHAnsi"/>
                <w:b/>
                <w:sz w:val="20"/>
                <w:szCs w:val="20"/>
              </w:rPr>
            </w:pPr>
            <w:r>
              <w:rPr>
                <w:rFonts w:asciiTheme="minorHAnsi" w:hAnsiTheme="minorHAnsi" w:cstheme="minorHAnsi"/>
                <w:b/>
                <w:sz w:val="20"/>
                <w:szCs w:val="20"/>
              </w:rPr>
              <w:lastRenderedPageBreak/>
              <w:t>4</w:t>
            </w:r>
          </w:p>
        </w:tc>
        <w:tc>
          <w:tcPr>
            <w:tcW w:w="1791" w:type="dxa"/>
            <w:tcBorders>
              <w:top w:val="single" w:sz="4" w:space="0" w:color="auto"/>
              <w:left w:val="single" w:sz="4" w:space="0" w:color="auto"/>
              <w:bottom w:val="single" w:sz="4" w:space="0" w:color="auto"/>
              <w:right w:val="single" w:sz="4" w:space="0" w:color="auto"/>
            </w:tcBorders>
          </w:tcPr>
          <w:p w14:paraId="4D3675D0" w14:textId="6C916C26" w:rsidR="00850254" w:rsidRPr="00A0042B" w:rsidRDefault="00850254" w:rsidP="00850254">
            <w:pPr>
              <w:spacing w:before="60" w:after="60"/>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 xml:space="preserve">Prezes Polskiego Komitetu Normalizującego – dalej </w:t>
            </w:r>
            <w:r w:rsidRPr="002C5118">
              <w:rPr>
                <w:rFonts w:asciiTheme="minorHAnsi" w:hAnsiTheme="minorHAnsi" w:cstheme="minorHAnsi"/>
                <w:color w:val="000000" w:themeColor="text1"/>
                <w:sz w:val="20"/>
              </w:rPr>
              <w:t>PKN</w:t>
            </w:r>
          </w:p>
        </w:tc>
        <w:tc>
          <w:tcPr>
            <w:tcW w:w="1990" w:type="dxa"/>
            <w:tcBorders>
              <w:top w:val="single" w:sz="4" w:space="0" w:color="auto"/>
              <w:left w:val="single" w:sz="4" w:space="0" w:color="auto"/>
              <w:bottom w:val="single" w:sz="4" w:space="0" w:color="auto"/>
              <w:right w:val="single" w:sz="4" w:space="0" w:color="auto"/>
            </w:tcBorders>
          </w:tcPr>
          <w:p w14:paraId="3D528DF8" w14:textId="652B83A2"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 7 ust. 1 pkt 1</w:t>
            </w:r>
          </w:p>
        </w:tc>
        <w:tc>
          <w:tcPr>
            <w:tcW w:w="5910" w:type="dxa"/>
            <w:tcBorders>
              <w:top w:val="single" w:sz="4" w:space="0" w:color="auto"/>
              <w:left w:val="single" w:sz="4" w:space="0" w:color="auto"/>
              <w:bottom w:val="single" w:sz="4" w:space="0" w:color="auto"/>
              <w:right w:val="single" w:sz="4" w:space="0" w:color="auto"/>
            </w:tcBorders>
          </w:tcPr>
          <w:p w14:paraId="5165C6C0"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w:t>
            </w:r>
            <w:r w:rsidRPr="00A0042B">
              <w:rPr>
                <w:rFonts w:asciiTheme="minorHAnsi" w:hAnsiTheme="minorHAnsi" w:cstheme="minorHAnsi"/>
                <w:color w:val="000000" w:themeColor="text1"/>
                <w:sz w:val="20"/>
              </w:rPr>
              <w:tab/>
              <w:t>Błędny zapis tytułu normy PN-EN 61386-21:2005. Przed „Część 21” powinien być myślnik zamiast kropki. Poprawny zapis to:</w:t>
            </w:r>
          </w:p>
          <w:p w14:paraId="488698FA" w14:textId="77777777" w:rsidR="00850254" w:rsidRPr="00A0042B" w:rsidRDefault="00850254" w:rsidP="00850254">
            <w:pPr>
              <w:jc w:val="both"/>
              <w:rPr>
                <w:rFonts w:asciiTheme="minorHAnsi" w:hAnsiTheme="minorHAnsi" w:cstheme="minorHAnsi"/>
                <w:color w:val="000000" w:themeColor="text1"/>
                <w:sz w:val="20"/>
              </w:rPr>
            </w:pPr>
          </w:p>
          <w:p w14:paraId="6EA797DE"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Systemy rur instalacyjnych do prowadzenia przewodów - Część 21: Wymagania szczegółowe - Systemy rur instalacyjnych sztywnych</w:t>
            </w:r>
          </w:p>
          <w:p w14:paraId="2E7A12D1" w14:textId="77777777" w:rsidR="00850254" w:rsidRPr="00A0042B" w:rsidRDefault="00850254" w:rsidP="00850254">
            <w:pPr>
              <w:jc w:val="both"/>
              <w:rPr>
                <w:rFonts w:asciiTheme="minorHAnsi" w:hAnsiTheme="minorHAnsi" w:cstheme="minorHAnsi"/>
                <w:color w:val="000000" w:themeColor="text1"/>
                <w:sz w:val="20"/>
              </w:rPr>
            </w:pPr>
          </w:p>
          <w:p w14:paraId="1C309673"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w:t>
            </w:r>
            <w:r w:rsidRPr="00A0042B">
              <w:rPr>
                <w:rFonts w:asciiTheme="minorHAnsi" w:hAnsiTheme="minorHAnsi" w:cstheme="minorHAnsi"/>
                <w:color w:val="000000" w:themeColor="text1"/>
                <w:sz w:val="20"/>
              </w:rPr>
              <w:tab/>
              <w:t>Błędny zapis tytułu normy PN-EN 61386-1:2011. Przed „Część 1” powinien być myślnik zamiast kropki. Poprawny zapis to:</w:t>
            </w:r>
          </w:p>
          <w:p w14:paraId="0F0867F0" w14:textId="77777777" w:rsidR="00850254" w:rsidRPr="00A0042B" w:rsidRDefault="00850254" w:rsidP="00850254">
            <w:pPr>
              <w:jc w:val="both"/>
              <w:rPr>
                <w:rFonts w:asciiTheme="minorHAnsi" w:hAnsiTheme="minorHAnsi" w:cstheme="minorHAnsi"/>
                <w:color w:val="000000" w:themeColor="text1"/>
                <w:sz w:val="20"/>
              </w:rPr>
            </w:pPr>
          </w:p>
          <w:p w14:paraId="231D4208" w14:textId="508811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 xml:space="preserve">Systemy rur instalacyjnych do prowadzenia przewodów - Część 1: Wymagania </w:t>
            </w:r>
            <w:proofErr w:type="spellStart"/>
            <w:r w:rsidRPr="00A0042B">
              <w:rPr>
                <w:rFonts w:asciiTheme="minorHAnsi" w:hAnsiTheme="minorHAnsi" w:cstheme="minorHAnsi"/>
                <w:color w:val="000000" w:themeColor="text1"/>
                <w:sz w:val="20"/>
              </w:rPr>
              <w:t>ogólne</w:t>
            </w:r>
            <w:r>
              <w:rPr>
                <w:rFonts w:asciiTheme="minorHAnsi" w:hAnsiTheme="minorHAnsi" w:cstheme="minorHAnsi"/>
                <w:color w:val="000000" w:themeColor="text1"/>
                <w:sz w:val="20"/>
              </w:rPr>
              <w:t>Uwagi</w:t>
            </w:r>
            <w:proofErr w:type="spellEnd"/>
            <w:r>
              <w:rPr>
                <w:rFonts w:asciiTheme="minorHAnsi" w:hAnsiTheme="minorHAnsi" w:cstheme="minorHAnsi"/>
                <w:color w:val="000000" w:themeColor="text1"/>
                <w:sz w:val="20"/>
              </w:rPr>
              <w:t xml:space="preserve"> redakcyjne wg, osobnego załącznika</w:t>
            </w:r>
          </w:p>
        </w:tc>
        <w:tc>
          <w:tcPr>
            <w:tcW w:w="4993" w:type="dxa"/>
            <w:tcBorders>
              <w:top w:val="single" w:sz="4" w:space="0" w:color="auto"/>
              <w:left w:val="single" w:sz="4" w:space="0" w:color="auto"/>
              <w:bottom w:val="single" w:sz="4" w:space="0" w:color="auto"/>
              <w:right w:val="single" w:sz="4" w:space="0" w:color="auto"/>
            </w:tcBorders>
          </w:tcPr>
          <w:p w14:paraId="347AE5B4" w14:textId="0F12F3AD" w:rsidR="00850254" w:rsidRPr="008D4218" w:rsidRDefault="00850254" w:rsidP="00850254">
            <w:pPr>
              <w:jc w:val="both"/>
              <w:rPr>
                <w:rFonts w:asciiTheme="minorHAnsi" w:hAnsiTheme="minorHAnsi" w:cstheme="minorHAnsi"/>
                <w:b/>
                <w:bCs/>
                <w:color w:val="000000" w:themeColor="text1"/>
                <w:sz w:val="20"/>
              </w:rPr>
            </w:pPr>
            <w:r>
              <w:rPr>
                <w:rFonts w:asciiTheme="minorHAnsi" w:hAnsiTheme="minorHAnsi" w:cstheme="minorHAnsi"/>
                <w:b/>
                <w:bCs/>
                <w:color w:val="000000" w:themeColor="text1"/>
                <w:sz w:val="20"/>
              </w:rPr>
              <w:t>Uwaga uwzględniona</w:t>
            </w:r>
          </w:p>
        </w:tc>
      </w:tr>
      <w:tr w:rsidR="00850254" w:rsidRPr="002D6653" w14:paraId="53EFF255" w14:textId="77777777" w:rsidTr="0D9F930C">
        <w:trPr>
          <w:trHeight w:val="465"/>
        </w:trPr>
        <w:tc>
          <w:tcPr>
            <w:tcW w:w="892" w:type="dxa"/>
            <w:shd w:val="clear" w:color="auto" w:fill="auto"/>
          </w:tcPr>
          <w:p w14:paraId="705113E5" w14:textId="3723293B" w:rsidR="00850254" w:rsidRPr="002D6653" w:rsidRDefault="00850254" w:rsidP="00850254">
            <w:pPr>
              <w:spacing w:before="120" w:after="120"/>
              <w:jc w:val="both"/>
              <w:rPr>
                <w:rFonts w:asciiTheme="minorHAnsi" w:hAnsiTheme="minorHAnsi" w:cstheme="minorHAnsi"/>
                <w:b/>
                <w:sz w:val="20"/>
                <w:szCs w:val="20"/>
              </w:rPr>
            </w:pPr>
            <w:r>
              <w:rPr>
                <w:rFonts w:asciiTheme="minorHAnsi" w:hAnsiTheme="minorHAnsi" w:cstheme="minorHAnsi"/>
                <w:b/>
                <w:sz w:val="20"/>
                <w:szCs w:val="20"/>
              </w:rPr>
              <w:t>5</w:t>
            </w:r>
          </w:p>
        </w:tc>
        <w:tc>
          <w:tcPr>
            <w:tcW w:w="1791" w:type="dxa"/>
            <w:shd w:val="clear" w:color="auto" w:fill="auto"/>
          </w:tcPr>
          <w:p w14:paraId="717527C2" w14:textId="6D752414" w:rsidR="00850254" w:rsidRPr="002D6653" w:rsidRDefault="002C5118" w:rsidP="00850254">
            <w:pPr>
              <w:spacing w:before="60" w:after="60"/>
              <w:jc w:val="both"/>
              <w:rPr>
                <w:rFonts w:asciiTheme="minorHAnsi" w:hAnsiTheme="minorHAnsi" w:cstheme="minorHAnsi"/>
                <w:sz w:val="20"/>
                <w:szCs w:val="20"/>
              </w:rPr>
            </w:pPr>
            <w:r>
              <w:rPr>
                <w:rFonts w:asciiTheme="minorHAnsi" w:hAnsiTheme="minorHAnsi" w:cstheme="minorHAnsi"/>
                <w:noProof/>
                <w:color w:val="000000" w:themeColor="text1"/>
                <w:sz w:val="20"/>
              </w:rPr>
              <w:t>GDDKiA</w:t>
            </w:r>
          </w:p>
        </w:tc>
        <w:tc>
          <w:tcPr>
            <w:tcW w:w="1990" w:type="dxa"/>
            <w:shd w:val="clear" w:color="auto" w:fill="auto"/>
          </w:tcPr>
          <w:p w14:paraId="36832926" w14:textId="4173BBA4" w:rsidR="00850254" w:rsidRPr="002D6653" w:rsidRDefault="00850254" w:rsidP="00850254">
            <w:pPr>
              <w:jc w:val="both"/>
              <w:rPr>
                <w:rFonts w:asciiTheme="minorHAnsi" w:hAnsiTheme="minorHAnsi" w:cstheme="minorHAnsi"/>
                <w:bCs/>
                <w:sz w:val="20"/>
                <w:szCs w:val="20"/>
              </w:rPr>
            </w:pPr>
            <w:r w:rsidRPr="00A0042B">
              <w:rPr>
                <w:rFonts w:asciiTheme="minorHAnsi" w:hAnsiTheme="minorHAnsi" w:cstheme="minorHAnsi"/>
                <w:color w:val="000000" w:themeColor="text1"/>
                <w:sz w:val="20"/>
              </w:rPr>
              <w:t>§ 8 i 9</w:t>
            </w:r>
          </w:p>
        </w:tc>
        <w:tc>
          <w:tcPr>
            <w:tcW w:w="5910" w:type="dxa"/>
            <w:shd w:val="clear" w:color="auto" w:fill="auto"/>
          </w:tcPr>
          <w:p w14:paraId="0FF246D7" w14:textId="027E6D3B"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 8 rozporządzenia nakazuje stosowanie przy projektowaniu i budowie kanałów technologicznych w ramach współkorzystania z załącznika nr 1 do rozporządzenia w sprawie warunków technicznych, jakim powinny odpowiadać telekomunikacyjne obiekty budowlane i ich usytuowanie. § 9 rozporządzenia nakazuje stosowanie wymagań w</w:t>
            </w:r>
            <w:r w:rsidR="0044786E">
              <w:rPr>
                <w:rFonts w:asciiTheme="minorHAnsi" w:hAnsiTheme="minorHAnsi" w:cstheme="minorHAnsi"/>
                <w:color w:val="000000" w:themeColor="text1"/>
                <w:sz w:val="20"/>
              </w:rPr>
              <w:t> </w:t>
            </w:r>
            <w:r w:rsidRPr="00A0042B">
              <w:rPr>
                <w:rFonts w:asciiTheme="minorHAnsi" w:hAnsiTheme="minorHAnsi" w:cstheme="minorHAnsi"/>
                <w:color w:val="000000" w:themeColor="text1"/>
                <w:sz w:val="20"/>
              </w:rPr>
              <w:t xml:space="preserve">zakresie usytuowania, określonych w przepisach techniczno-budowlanych dla wszystkich kategorii dróg publicznych oraz drogowych obiektów inżynierskich. Z kolei § 12 zawiera dodatkowe wymagania dotyczące sytuowania kanałów w stosunku do drogi. </w:t>
            </w:r>
          </w:p>
          <w:p w14:paraId="60CE7164" w14:textId="5C946BCA" w:rsidR="00850254" w:rsidRPr="002D6653" w:rsidRDefault="00850254" w:rsidP="00850254">
            <w:pPr>
              <w:jc w:val="both"/>
              <w:rPr>
                <w:rFonts w:asciiTheme="minorHAnsi" w:hAnsiTheme="minorHAnsi" w:cstheme="minorHAnsi"/>
                <w:bCs/>
                <w:sz w:val="20"/>
                <w:szCs w:val="20"/>
              </w:rPr>
            </w:pPr>
            <w:r w:rsidRPr="00A0042B">
              <w:rPr>
                <w:rFonts w:asciiTheme="minorHAnsi" w:hAnsiTheme="minorHAnsi" w:cstheme="minorHAnsi"/>
                <w:color w:val="000000" w:themeColor="text1"/>
                <w:sz w:val="20"/>
              </w:rPr>
              <w:t>Możliwa jest więc sytuacja, w której projektant będzie zobligowany do stosowania trzech różnych rozporządzeń na raz. W związku z tym konieczne wydaje się określenie ich hierarchii, tzn. wskazanie które rozporządzenie należy stosować w pierwszej kolejności w razie zaistnienia sprzeczności pomiędzy poszczególnymi regulacjami.</w:t>
            </w:r>
          </w:p>
        </w:tc>
        <w:tc>
          <w:tcPr>
            <w:tcW w:w="4993" w:type="dxa"/>
          </w:tcPr>
          <w:p w14:paraId="7873674A" w14:textId="77777777" w:rsidR="00850254" w:rsidRPr="007206B8" w:rsidRDefault="00850254" w:rsidP="00850254">
            <w:pPr>
              <w:rPr>
                <w:rFonts w:asciiTheme="minorHAnsi" w:hAnsiTheme="minorHAnsi" w:cstheme="minorHAnsi"/>
                <w:b/>
                <w:bCs/>
                <w:color w:val="000000" w:themeColor="text1"/>
                <w:sz w:val="20"/>
              </w:rPr>
            </w:pPr>
            <w:r w:rsidRPr="007206B8">
              <w:rPr>
                <w:rFonts w:asciiTheme="minorHAnsi" w:hAnsiTheme="minorHAnsi" w:cstheme="minorHAnsi"/>
                <w:b/>
                <w:bCs/>
                <w:color w:val="000000" w:themeColor="text1"/>
                <w:sz w:val="20"/>
              </w:rPr>
              <w:t>Uwaga nieuwzględniona</w:t>
            </w:r>
          </w:p>
          <w:p w14:paraId="7E4E84C7" w14:textId="77777777" w:rsidR="00850254" w:rsidRDefault="00850254" w:rsidP="00850254">
            <w:pPr>
              <w:rPr>
                <w:rFonts w:asciiTheme="minorHAnsi" w:hAnsiTheme="minorHAnsi" w:cstheme="minorHAnsi"/>
                <w:bCs/>
                <w:color w:val="000000" w:themeColor="text1"/>
                <w:sz w:val="20"/>
              </w:rPr>
            </w:pPr>
          </w:p>
          <w:p w14:paraId="6AE0FA51" w14:textId="2548D316" w:rsidR="00850254" w:rsidRPr="002D6653" w:rsidRDefault="00850254" w:rsidP="00850254">
            <w:pPr>
              <w:spacing w:line="259" w:lineRule="auto"/>
              <w:jc w:val="both"/>
              <w:rPr>
                <w:rFonts w:asciiTheme="minorHAnsi" w:hAnsiTheme="minorHAnsi" w:cstheme="minorBidi"/>
                <w:b/>
              </w:rPr>
            </w:pPr>
            <w:r>
              <w:rPr>
                <w:rFonts w:asciiTheme="minorHAnsi" w:hAnsiTheme="minorHAnsi" w:cstheme="minorHAnsi"/>
                <w:bCs/>
                <w:color w:val="000000" w:themeColor="text1"/>
                <w:sz w:val="20"/>
              </w:rPr>
              <w:t>P</w:t>
            </w:r>
            <w:r w:rsidRPr="00A0042B">
              <w:rPr>
                <w:rFonts w:asciiTheme="minorHAnsi" w:hAnsiTheme="minorHAnsi" w:cstheme="minorHAnsi"/>
                <w:bCs/>
                <w:color w:val="000000" w:themeColor="text1"/>
                <w:sz w:val="20"/>
              </w:rPr>
              <w:t xml:space="preserve">rojektant musi stosować wszystkie obowiązujące dokumenty, które dotyczą zagadnień budowy kanałów technologicznych. </w:t>
            </w:r>
          </w:p>
        </w:tc>
      </w:tr>
      <w:tr w:rsidR="00850254" w:rsidRPr="002D6653" w14:paraId="121A95AB" w14:textId="77777777" w:rsidTr="0D9F930C">
        <w:trPr>
          <w:trHeight w:val="465"/>
        </w:trPr>
        <w:tc>
          <w:tcPr>
            <w:tcW w:w="892" w:type="dxa"/>
            <w:shd w:val="clear" w:color="auto" w:fill="auto"/>
          </w:tcPr>
          <w:p w14:paraId="5F4F1114" w14:textId="5AF186C3" w:rsidR="00850254" w:rsidRPr="002D6653" w:rsidRDefault="00850254" w:rsidP="00850254">
            <w:pPr>
              <w:spacing w:before="120" w:after="120"/>
              <w:jc w:val="both"/>
              <w:rPr>
                <w:rFonts w:asciiTheme="minorHAnsi" w:hAnsiTheme="minorHAnsi" w:cstheme="minorHAnsi"/>
                <w:b/>
                <w:sz w:val="20"/>
                <w:szCs w:val="20"/>
              </w:rPr>
            </w:pPr>
            <w:r>
              <w:rPr>
                <w:rFonts w:asciiTheme="minorHAnsi" w:hAnsiTheme="minorHAnsi" w:cstheme="minorHAnsi"/>
                <w:b/>
                <w:sz w:val="20"/>
                <w:szCs w:val="20"/>
              </w:rPr>
              <w:t>6</w:t>
            </w:r>
          </w:p>
        </w:tc>
        <w:tc>
          <w:tcPr>
            <w:tcW w:w="1791" w:type="dxa"/>
            <w:shd w:val="clear" w:color="auto" w:fill="auto"/>
          </w:tcPr>
          <w:p w14:paraId="774F0A26" w14:textId="15D7910E" w:rsidR="00850254" w:rsidRPr="002D6653" w:rsidRDefault="002C5118" w:rsidP="00850254">
            <w:pPr>
              <w:spacing w:before="60" w:after="60"/>
              <w:jc w:val="both"/>
              <w:rPr>
                <w:rFonts w:asciiTheme="minorHAnsi" w:hAnsiTheme="minorHAnsi" w:cstheme="minorHAnsi"/>
                <w:sz w:val="20"/>
                <w:szCs w:val="20"/>
              </w:rPr>
            </w:pPr>
            <w:r>
              <w:rPr>
                <w:rFonts w:asciiTheme="minorHAnsi" w:hAnsiTheme="minorHAnsi" w:cstheme="minorHAnsi"/>
                <w:noProof/>
                <w:color w:val="000000" w:themeColor="text1"/>
                <w:sz w:val="20"/>
              </w:rPr>
              <w:t>GDDKiA</w:t>
            </w:r>
          </w:p>
        </w:tc>
        <w:tc>
          <w:tcPr>
            <w:tcW w:w="1990" w:type="dxa"/>
            <w:shd w:val="clear" w:color="auto" w:fill="auto"/>
          </w:tcPr>
          <w:p w14:paraId="2E454480" w14:textId="2B330685" w:rsidR="00850254" w:rsidRPr="002D6653" w:rsidRDefault="00850254" w:rsidP="00850254">
            <w:pPr>
              <w:jc w:val="both"/>
              <w:rPr>
                <w:rFonts w:asciiTheme="minorHAnsi" w:hAnsiTheme="minorHAnsi" w:cstheme="minorHAnsi"/>
                <w:bCs/>
                <w:sz w:val="20"/>
                <w:szCs w:val="20"/>
              </w:rPr>
            </w:pPr>
            <w:r w:rsidRPr="00A0042B">
              <w:rPr>
                <w:rFonts w:asciiTheme="minorHAnsi" w:hAnsiTheme="minorHAnsi" w:cstheme="minorHAnsi"/>
                <w:color w:val="000000" w:themeColor="text1"/>
                <w:sz w:val="20"/>
              </w:rPr>
              <w:t>§ 12</w:t>
            </w:r>
          </w:p>
        </w:tc>
        <w:tc>
          <w:tcPr>
            <w:tcW w:w="5910" w:type="dxa"/>
            <w:shd w:val="clear" w:color="auto" w:fill="auto"/>
          </w:tcPr>
          <w:p w14:paraId="5F8DEE10"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Proponuję się uzupełnić treść § 12 o przepis zakazujący lokalizacji kanału technologicznego w korpusie drogi.</w:t>
            </w:r>
          </w:p>
          <w:p w14:paraId="62F2BC2B"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 xml:space="preserve">Zasadniczym elementem drogi jest jej korpus, w którym zlokalizowana jest jezdnia lub jezdnie wraz z pasami awaryjnymi lub poboczami utwardzonymi w zależności od klasy drogi, poboczami  ziemnymi, elementami odwodnienia i skarpami. W korpusie drogi lokalizowane są również bariery ochronne, zabezpieczenia akustyczne, oznakowanie pionowe, tablice kierunkowe, drogowskazowe itp. Ilość infrastruktury lokalizowanej w korpusie drogi związanej z jej funkcjonowaniem wyklucza możliwość lokalizacji kanałów technologicznych szczególnie niezwiązanych z funkcjonowaniem drogi. </w:t>
            </w:r>
          </w:p>
          <w:p w14:paraId="1529AE17"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 xml:space="preserve">Ponadto każda infrastruktura wymaga konserwacji lub ulega awarii - wykonywanie jakichkolwiek czynności w bliskim sąsiedztwie jezdni wiązać się będzie z utrudnieniami w ruchu i stwarzać realne zagrożenie bezpieczeństwa dla użytkowników drogi i ekip naprawczych usuwających awarię.  </w:t>
            </w:r>
          </w:p>
          <w:p w14:paraId="7B08747B"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lastRenderedPageBreak/>
              <w:t xml:space="preserve">Z uwagi na powyższe proponuje się wprowadzenie nowego brzmienia § 12: </w:t>
            </w:r>
          </w:p>
          <w:p w14:paraId="0E698182"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 xml:space="preserve">§ 12. 1. Ciągi kanałów technologicznych należy budować po jednej stronie drogi . W przypadku braku takiej możliwości ciąg kontynuuje się po drugiej stronie drogi. </w:t>
            </w:r>
          </w:p>
          <w:p w14:paraId="32619D2C" w14:textId="0099FE38" w:rsidR="00850254" w:rsidRPr="002D6653" w:rsidRDefault="00850254" w:rsidP="00850254">
            <w:pPr>
              <w:jc w:val="both"/>
              <w:rPr>
                <w:rFonts w:asciiTheme="minorHAnsi" w:hAnsiTheme="minorHAnsi" w:cstheme="minorHAnsi"/>
                <w:bCs/>
                <w:sz w:val="20"/>
                <w:szCs w:val="20"/>
              </w:rPr>
            </w:pPr>
            <w:r w:rsidRPr="00A0042B">
              <w:rPr>
                <w:rFonts w:asciiTheme="minorHAnsi" w:hAnsiTheme="minorHAnsi" w:cstheme="minorHAnsi"/>
                <w:color w:val="000000" w:themeColor="text1"/>
                <w:sz w:val="20"/>
              </w:rPr>
              <w:t>2. Kanałów technologicznych nie lokalizuje się w korpusie drogi.</w:t>
            </w:r>
          </w:p>
        </w:tc>
        <w:tc>
          <w:tcPr>
            <w:tcW w:w="4993" w:type="dxa"/>
          </w:tcPr>
          <w:p w14:paraId="2EBA6158" w14:textId="77777777" w:rsidR="00850254" w:rsidRPr="00A0042B" w:rsidRDefault="00850254" w:rsidP="00850254">
            <w:pPr>
              <w:jc w:val="both"/>
              <w:rPr>
                <w:rFonts w:asciiTheme="minorHAnsi" w:hAnsiTheme="minorHAnsi" w:cstheme="minorHAnsi"/>
                <w:b/>
                <w:bCs/>
                <w:color w:val="000000" w:themeColor="text1"/>
                <w:sz w:val="20"/>
              </w:rPr>
            </w:pPr>
            <w:r w:rsidRPr="00A0042B">
              <w:rPr>
                <w:rFonts w:asciiTheme="minorHAnsi" w:hAnsiTheme="minorHAnsi" w:cstheme="minorHAnsi"/>
                <w:b/>
                <w:bCs/>
                <w:color w:val="000000" w:themeColor="text1"/>
                <w:sz w:val="20"/>
              </w:rPr>
              <w:lastRenderedPageBreak/>
              <w:t xml:space="preserve">Uwaga </w:t>
            </w:r>
            <w:r>
              <w:rPr>
                <w:rFonts w:asciiTheme="minorHAnsi" w:hAnsiTheme="minorHAnsi" w:cstheme="minorHAnsi"/>
                <w:b/>
                <w:bCs/>
                <w:color w:val="000000" w:themeColor="text1"/>
                <w:sz w:val="20"/>
              </w:rPr>
              <w:t>nie</w:t>
            </w:r>
            <w:r w:rsidRPr="00A0042B">
              <w:rPr>
                <w:rFonts w:asciiTheme="minorHAnsi" w:hAnsiTheme="minorHAnsi" w:cstheme="minorHAnsi"/>
                <w:b/>
                <w:bCs/>
                <w:color w:val="000000" w:themeColor="text1"/>
                <w:sz w:val="20"/>
              </w:rPr>
              <w:t>uwzględniona</w:t>
            </w:r>
          </w:p>
          <w:p w14:paraId="3F352CE2" w14:textId="77777777" w:rsidR="00850254" w:rsidRDefault="00850254" w:rsidP="00850254">
            <w:pPr>
              <w:jc w:val="both"/>
              <w:rPr>
                <w:rFonts w:asciiTheme="minorHAnsi" w:hAnsiTheme="minorHAnsi" w:cstheme="minorHAnsi"/>
                <w:b/>
                <w:bCs/>
                <w:color w:val="000000" w:themeColor="text1"/>
                <w:sz w:val="20"/>
              </w:rPr>
            </w:pPr>
          </w:p>
          <w:p w14:paraId="32ADE5FD" w14:textId="301E60D0" w:rsidR="00D935E5" w:rsidRPr="00D935E5" w:rsidRDefault="00850254" w:rsidP="00D935E5">
            <w:pPr>
              <w:jc w:val="both"/>
              <w:rPr>
                <w:rFonts w:asciiTheme="minorHAnsi" w:hAnsiTheme="minorHAnsi" w:cstheme="minorHAnsi"/>
                <w:bCs/>
                <w:color w:val="000000" w:themeColor="text1"/>
                <w:sz w:val="20"/>
              </w:rPr>
            </w:pPr>
            <w:r>
              <w:rPr>
                <w:rFonts w:asciiTheme="minorHAnsi" w:hAnsiTheme="minorHAnsi" w:cstheme="minorHAnsi"/>
                <w:bCs/>
                <w:color w:val="000000" w:themeColor="text1"/>
                <w:sz w:val="20"/>
              </w:rPr>
              <w:t xml:space="preserve">Kwestia usytuowania kanałów technologicznych jest unormowana w </w:t>
            </w:r>
            <w:r w:rsidRPr="006A3861">
              <w:rPr>
                <w:rFonts w:asciiTheme="minorHAnsi" w:hAnsiTheme="minorHAnsi" w:cstheme="minorHAnsi"/>
                <w:bCs/>
                <w:color w:val="000000" w:themeColor="text1"/>
                <w:sz w:val="20"/>
              </w:rPr>
              <w:t xml:space="preserve">§ 139a </w:t>
            </w:r>
            <w:r>
              <w:rPr>
                <w:rFonts w:asciiTheme="minorHAnsi" w:hAnsiTheme="minorHAnsi" w:cstheme="minorHAnsi"/>
                <w:bCs/>
                <w:color w:val="000000" w:themeColor="text1"/>
                <w:sz w:val="20"/>
              </w:rPr>
              <w:t xml:space="preserve"> rozporządzenia </w:t>
            </w:r>
            <w:r w:rsidR="00D935E5">
              <w:rPr>
                <w:rFonts w:asciiTheme="minorHAnsi" w:hAnsiTheme="minorHAnsi" w:cstheme="minorHAnsi"/>
                <w:bCs/>
                <w:color w:val="000000" w:themeColor="text1"/>
                <w:sz w:val="20"/>
              </w:rPr>
              <w:t>M</w:t>
            </w:r>
            <w:r w:rsidR="00D935E5" w:rsidRPr="00D935E5">
              <w:rPr>
                <w:rFonts w:asciiTheme="minorHAnsi" w:hAnsiTheme="minorHAnsi" w:cstheme="minorHAnsi"/>
                <w:bCs/>
                <w:color w:val="000000" w:themeColor="text1"/>
                <w:sz w:val="20"/>
              </w:rPr>
              <w:t>inistra Transportu i Gospodarki Morskiej z dnia 2 marca 1999 r. w</w:t>
            </w:r>
            <w:r w:rsidR="0044786E">
              <w:rPr>
                <w:rFonts w:asciiTheme="minorHAnsi" w:hAnsiTheme="minorHAnsi" w:cstheme="minorHAnsi"/>
                <w:bCs/>
                <w:color w:val="000000" w:themeColor="text1"/>
                <w:sz w:val="20"/>
              </w:rPr>
              <w:t> </w:t>
            </w:r>
            <w:r w:rsidR="00D935E5" w:rsidRPr="00D935E5">
              <w:rPr>
                <w:rFonts w:asciiTheme="minorHAnsi" w:hAnsiTheme="minorHAnsi" w:cstheme="minorHAnsi"/>
                <w:bCs/>
                <w:color w:val="000000" w:themeColor="text1"/>
                <w:sz w:val="20"/>
              </w:rPr>
              <w:t>sprawie warunków technicznych, jakim powinny odpowiadać drogi publiczne i ich usytuowanie</w:t>
            </w:r>
            <w:r w:rsidR="00D935E5">
              <w:rPr>
                <w:rFonts w:asciiTheme="minorHAnsi" w:hAnsiTheme="minorHAnsi" w:cstheme="minorHAnsi"/>
                <w:bCs/>
                <w:color w:val="000000" w:themeColor="text1"/>
                <w:sz w:val="20"/>
              </w:rPr>
              <w:t xml:space="preserve"> (Dz. U. z</w:t>
            </w:r>
            <w:r w:rsidR="0044786E">
              <w:rPr>
                <w:rFonts w:asciiTheme="minorHAnsi" w:hAnsiTheme="minorHAnsi" w:cstheme="minorHAnsi"/>
                <w:bCs/>
                <w:color w:val="000000" w:themeColor="text1"/>
                <w:sz w:val="20"/>
              </w:rPr>
              <w:t> </w:t>
            </w:r>
            <w:r w:rsidR="00D935E5">
              <w:rPr>
                <w:rFonts w:asciiTheme="minorHAnsi" w:hAnsiTheme="minorHAnsi" w:cstheme="minorHAnsi"/>
                <w:bCs/>
                <w:color w:val="000000" w:themeColor="text1"/>
                <w:sz w:val="20"/>
              </w:rPr>
              <w:t xml:space="preserve">2016 r. poz. 124, z </w:t>
            </w:r>
            <w:proofErr w:type="spellStart"/>
            <w:r w:rsidR="00D935E5">
              <w:rPr>
                <w:rFonts w:asciiTheme="minorHAnsi" w:hAnsiTheme="minorHAnsi" w:cstheme="minorHAnsi"/>
                <w:bCs/>
                <w:color w:val="000000" w:themeColor="text1"/>
                <w:sz w:val="20"/>
              </w:rPr>
              <w:t>późn</w:t>
            </w:r>
            <w:proofErr w:type="spellEnd"/>
            <w:r w:rsidR="00D935E5">
              <w:rPr>
                <w:rFonts w:asciiTheme="minorHAnsi" w:hAnsiTheme="minorHAnsi" w:cstheme="minorHAnsi"/>
                <w:bCs/>
                <w:color w:val="000000" w:themeColor="text1"/>
                <w:sz w:val="20"/>
              </w:rPr>
              <w:t>. zm.)</w:t>
            </w:r>
            <w:r w:rsidR="00197F8B">
              <w:rPr>
                <w:rFonts w:asciiTheme="minorHAnsi" w:hAnsiTheme="minorHAnsi" w:cstheme="minorHAnsi"/>
                <w:bCs/>
                <w:color w:val="000000" w:themeColor="text1"/>
                <w:sz w:val="20"/>
              </w:rPr>
              <w:t>.</w:t>
            </w:r>
          </w:p>
          <w:p w14:paraId="65D75D13" w14:textId="69C3E83B" w:rsidR="00850254" w:rsidRPr="002D6653" w:rsidRDefault="00850254" w:rsidP="00850254">
            <w:pPr>
              <w:jc w:val="both"/>
              <w:rPr>
                <w:rFonts w:asciiTheme="minorHAnsi" w:hAnsiTheme="minorHAnsi" w:cstheme="minorBidi"/>
                <w:b/>
                <w:sz w:val="20"/>
                <w:szCs w:val="20"/>
              </w:rPr>
            </w:pPr>
            <w:r>
              <w:rPr>
                <w:rFonts w:asciiTheme="minorHAnsi" w:hAnsiTheme="minorHAnsi" w:cstheme="minorHAnsi"/>
                <w:bCs/>
                <w:color w:val="000000" w:themeColor="text1"/>
                <w:sz w:val="20"/>
              </w:rPr>
              <w:t>Wskazuje na to również uwaga nr 2 (MI). Niedopuszczalne jest unormowanie tych samych kwestii przez dwa różne akty prawne</w:t>
            </w:r>
            <w:r w:rsidR="00B71279">
              <w:rPr>
                <w:rFonts w:asciiTheme="minorHAnsi" w:hAnsiTheme="minorHAnsi" w:cstheme="minorHAnsi"/>
                <w:bCs/>
                <w:color w:val="000000" w:themeColor="text1"/>
                <w:sz w:val="20"/>
              </w:rPr>
              <w:t>.</w:t>
            </w:r>
          </w:p>
        </w:tc>
      </w:tr>
      <w:tr w:rsidR="00850254" w:rsidRPr="002D6653" w14:paraId="61237329" w14:textId="77777777" w:rsidTr="0D9F930C">
        <w:trPr>
          <w:trHeight w:val="465"/>
        </w:trPr>
        <w:tc>
          <w:tcPr>
            <w:tcW w:w="892" w:type="dxa"/>
            <w:shd w:val="clear" w:color="auto" w:fill="auto"/>
          </w:tcPr>
          <w:p w14:paraId="34416627" w14:textId="7ECBC7DE" w:rsidR="00850254" w:rsidRPr="002D6653" w:rsidRDefault="00850254" w:rsidP="00850254">
            <w:pPr>
              <w:spacing w:before="120" w:after="120"/>
              <w:jc w:val="both"/>
              <w:rPr>
                <w:rFonts w:asciiTheme="minorHAnsi" w:hAnsiTheme="minorHAnsi" w:cstheme="minorHAnsi"/>
                <w:b/>
                <w:sz w:val="20"/>
                <w:szCs w:val="20"/>
              </w:rPr>
            </w:pPr>
            <w:r>
              <w:rPr>
                <w:rFonts w:asciiTheme="minorHAnsi" w:hAnsiTheme="minorHAnsi" w:cstheme="minorHAnsi"/>
                <w:b/>
                <w:sz w:val="20"/>
                <w:szCs w:val="20"/>
              </w:rPr>
              <w:t>7</w:t>
            </w:r>
          </w:p>
        </w:tc>
        <w:tc>
          <w:tcPr>
            <w:tcW w:w="1791" w:type="dxa"/>
            <w:shd w:val="clear" w:color="auto" w:fill="auto"/>
          </w:tcPr>
          <w:p w14:paraId="4BF8A2EF" w14:textId="1D3239D3" w:rsidR="00850254" w:rsidRPr="002D6653" w:rsidRDefault="002C5118" w:rsidP="00850254">
            <w:pPr>
              <w:spacing w:before="60" w:after="60"/>
              <w:jc w:val="both"/>
              <w:rPr>
                <w:rFonts w:asciiTheme="minorHAnsi" w:hAnsiTheme="minorHAnsi" w:cstheme="minorHAnsi"/>
                <w:sz w:val="20"/>
                <w:szCs w:val="20"/>
              </w:rPr>
            </w:pPr>
            <w:r>
              <w:rPr>
                <w:rFonts w:asciiTheme="minorHAnsi" w:hAnsiTheme="minorHAnsi" w:cstheme="minorHAnsi"/>
                <w:color w:val="000000" w:themeColor="text1"/>
                <w:sz w:val="20"/>
              </w:rPr>
              <w:t>GDDKiA</w:t>
            </w:r>
          </w:p>
        </w:tc>
        <w:tc>
          <w:tcPr>
            <w:tcW w:w="1990" w:type="dxa"/>
            <w:shd w:val="clear" w:color="auto" w:fill="auto"/>
          </w:tcPr>
          <w:p w14:paraId="1C8F9094" w14:textId="5A656F2C" w:rsidR="00850254" w:rsidRPr="002D6653" w:rsidRDefault="00850254" w:rsidP="00850254">
            <w:pPr>
              <w:jc w:val="both"/>
              <w:rPr>
                <w:rFonts w:asciiTheme="minorHAnsi" w:hAnsiTheme="minorHAnsi" w:cstheme="minorHAnsi"/>
                <w:bCs/>
                <w:sz w:val="20"/>
                <w:szCs w:val="20"/>
              </w:rPr>
            </w:pPr>
            <w:r w:rsidRPr="00A0042B">
              <w:rPr>
                <w:rFonts w:asciiTheme="minorHAnsi" w:hAnsiTheme="minorHAnsi" w:cstheme="minorHAnsi"/>
                <w:color w:val="000000" w:themeColor="text1"/>
                <w:sz w:val="20"/>
              </w:rPr>
              <w:t>§ 14</w:t>
            </w:r>
          </w:p>
        </w:tc>
        <w:tc>
          <w:tcPr>
            <w:tcW w:w="5910" w:type="dxa"/>
            <w:shd w:val="clear" w:color="auto" w:fill="auto"/>
          </w:tcPr>
          <w:p w14:paraId="4AAA4ADE" w14:textId="0066C667" w:rsidR="00850254" w:rsidRPr="002D6653" w:rsidRDefault="00850254" w:rsidP="00850254">
            <w:pPr>
              <w:jc w:val="both"/>
              <w:rPr>
                <w:rFonts w:asciiTheme="minorHAnsi" w:hAnsiTheme="minorHAnsi" w:cstheme="minorHAnsi"/>
                <w:bCs/>
                <w:sz w:val="20"/>
                <w:szCs w:val="20"/>
              </w:rPr>
            </w:pPr>
            <w:r w:rsidRPr="00A0042B">
              <w:rPr>
                <w:rFonts w:asciiTheme="minorHAnsi" w:hAnsiTheme="minorHAnsi" w:cstheme="minorHAnsi"/>
                <w:color w:val="000000" w:themeColor="text1"/>
                <w:sz w:val="20"/>
              </w:rPr>
              <w:t>Dopuszczenie stosowania przepisów dotychczasowych do inwestycji drogowych, dla których rozstrzygnięto postępowanie w sprawie zamówienia publicznego jest niewystarczające. Punktem granicznym, od którego powinny być stosowane dotychczasowe przepisy powinien być moment ogłoszenia zamówienia publicznego.</w:t>
            </w:r>
          </w:p>
        </w:tc>
        <w:tc>
          <w:tcPr>
            <w:tcW w:w="4993" w:type="dxa"/>
          </w:tcPr>
          <w:p w14:paraId="01D6019D" w14:textId="77777777" w:rsidR="00850254" w:rsidRPr="00140A10" w:rsidRDefault="00850254" w:rsidP="00850254">
            <w:pPr>
              <w:jc w:val="both"/>
              <w:rPr>
                <w:rFonts w:asciiTheme="minorHAnsi" w:hAnsiTheme="minorHAnsi" w:cstheme="minorHAnsi"/>
                <w:b/>
                <w:bCs/>
                <w:color w:val="000000" w:themeColor="text1"/>
                <w:sz w:val="20"/>
              </w:rPr>
            </w:pPr>
            <w:r w:rsidRPr="00140A10">
              <w:rPr>
                <w:rFonts w:asciiTheme="minorHAnsi" w:hAnsiTheme="minorHAnsi" w:cstheme="minorHAnsi"/>
                <w:b/>
                <w:bCs/>
                <w:color w:val="000000" w:themeColor="text1"/>
                <w:sz w:val="20"/>
              </w:rPr>
              <w:t>Uwaga uwzględniona</w:t>
            </w:r>
          </w:p>
          <w:p w14:paraId="0A088D40" w14:textId="77777777" w:rsidR="00850254" w:rsidRDefault="00850254" w:rsidP="00850254">
            <w:pPr>
              <w:jc w:val="both"/>
              <w:rPr>
                <w:rFonts w:asciiTheme="minorHAnsi" w:hAnsiTheme="minorHAnsi" w:cstheme="minorHAnsi"/>
                <w:bCs/>
                <w:color w:val="000000" w:themeColor="text1"/>
                <w:sz w:val="20"/>
              </w:rPr>
            </w:pPr>
          </w:p>
          <w:p w14:paraId="729848A1" w14:textId="3C6F48AF" w:rsidR="0095570E" w:rsidRDefault="00850254" w:rsidP="00850254">
            <w:pPr>
              <w:jc w:val="both"/>
              <w:rPr>
                <w:rFonts w:asciiTheme="minorHAnsi" w:hAnsiTheme="minorHAnsi" w:cstheme="minorHAnsi"/>
                <w:color w:val="000000" w:themeColor="text1"/>
                <w:sz w:val="20"/>
              </w:rPr>
            </w:pPr>
            <w:r>
              <w:rPr>
                <w:rFonts w:asciiTheme="minorHAnsi" w:hAnsiTheme="minorHAnsi" w:cstheme="minorHAnsi"/>
                <w:bCs/>
                <w:color w:val="000000" w:themeColor="text1"/>
                <w:sz w:val="20"/>
              </w:rPr>
              <w:t xml:space="preserve">Obecny </w:t>
            </w:r>
            <w:r w:rsidRPr="00A0042B">
              <w:rPr>
                <w:rFonts w:asciiTheme="minorHAnsi" w:hAnsiTheme="minorHAnsi" w:cstheme="minorHAnsi"/>
                <w:color w:val="000000" w:themeColor="text1"/>
                <w:sz w:val="20"/>
              </w:rPr>
              <w:t>§ 1</w:t>
            </w:r>
            <w:r>
              <w:rPr>
                <w:rFonts w:asciiTheme="minorHAnsi" w:hAnsiTheme="minorHAnsi" w:cstheme="minorHAnsi"/>
                <w:color w:val="000000" w:themeColor="text1"/>
                <w:sz w:val="20"/>
              </w:rPr>
              <w:t xml:space="preserve">3 </w:t>
            </w:r>
            <w:r w:rsidR="0095570E">
              <w:rPr>
                <w:rFonts w:asciiTheme="minorHAnsi" w:hAnsiTheme="minorHAnsi" w:cstheme="minorHAnsi"/>
                <w:color w:val="000000" w:themeColor="text1"/>
                <w:sz w:val="20"/>
              </w:rPr>
              <w:t xml:space="preserve">otrzymał </w:t>
            </w:r>
            <w:r>
              <w:rPr>
                <w:rFonts w:asciiTheme="minorHAnsi" w:hAnsiTheme="minorHAnsi" w:cstheme="minorHAnsi"/>
                <w:color w:val="000000" w:themeColor="text1"/>
                <w:sz w:val="20"/>
              </w:rPr>
              <w:t xml:space="preserve">brzmienie: </w:t>
            </w:r>
          </w:p>
          <w:p w14:paraId="051F8E5C" w14:textId="563B617B" w:rsidR="00850254" w:rsidRPr="00451CBC" w:rsidRDefault="00850254" w:rsidP="00850254">
            <w:pPr>
              <w:jc w:val="both"/>
              <w:rPr>
                <w:rFonts w:asciiTheme="minorHAnsi" w:hAnsiTheme="minorHAnsi" w:cstheme="minorHAnsi"/>
                <w:color w:val="000000" w:themeColor="text1"/>
                <w:sz w:val="20"/>
              </w:rPr>
            </w:pPr>
            <w:r>
              <w:rPr>
                <w:rFonts w:asciiTheme="minorHAnsi" w:hAnsiTheme="minorHAnsi" w:cstheme="minorHAnsi"/>
                <w:color w:val="000000" w:themeColor="text1"/>
                <w:sz w:val="20"/>
              </w:rPr>
              <w:t>„</w:t>
            </w:r>
            <w:r w:rsidRPr="00451CBC">
              <w:rPr>
                <w:rFonts w:asciiTheme="minorHAnsi" w:hAnsiTheme="minorHAnsi" w:cstheme="minorHAnsi"/>
                <w:color w:val="000000" w:themeColor="text1"/>
                <w:sz w:val="20"/>
              </w:rPr>
              <w:t>§ 13. 1. Do realizacji inwestycji drogowych, w odniesieniu do których, przed dniem wejścia w życie niniejszego rozporządzenia zostało ogłoszone postępowanie o</w:t>
            </w:r>
            <w:r w:rsidR="0044786E">
              <w:rPr>
                <w:rFonts w:asciiTheme="minorHAnsi" w:hAnsiTheme="minorHAnsi" w:cstheme="minorHAnsi"/>
                <w:color w:val="000000" w:themeColor="text1"/>
                <w:sz w:val="20"/>
              </w:rPr>
              <w:t> </w:t>
            </w:r>
            <w:r w:rsidRPr="00451CBC">
              <w:rPr>
                <w:rFonts w:asciiTheme="minorHAnsi" w:hAnsiTheme="minorHAnsi" w:cstheme="minorHAnsi"/>
                <w:color w:val="000000" w:themeColor="text1"/>
                <w:sz w:val="20"/>
              </w:rPr>
              <w:t>udzielenie zamówienia publicznego na projekt albo wykonawstwo, albo na projekt i wykonawstwo, stosuje się przepisy dotychczasowe.</w:t>
            </w:r>
          </w:p>
          <w:p w14:paraId="26A502E7" w14:textId="103B5C93" w:rsidR="00850254" w:rsidRDefault="00850254" w:rsidP="00850254">
            <w:pPr>
              <w:jc w:val="both"/>
              <w:rPr>
                <w:rFonts w:asciiTheme="minorHAnsi" w:hAnsiTheme="minorHAnsi" w:cstheme="minorHAnsi"/>
                <w:bCs/>
                <w:color w:val="000000" w:themeColor="text1"/>
                <w:sz w:val="20"/>
              </w:rPr>
            </w:pPr>
            <w:r w:rsidRPr="00451CBC">
              <w:rPr>
                <w:rFonts w:asciiTheme="minorHAnsi" w:hAnsiTheme="minorHAnsi" w:cstheme="minorHAnsi"/>
                <w:color w:val="000000" w:themeColor="text1"/>
                <w:sz w:val="20"/>
              </w:rPr>
              <w:t>2. W sprawach, o których mowa w ust. 1, za zgodą inwestora stosuje się przepisy niniejszego rozporządzenia.</w:t>
            </w:r>
            <w:r>
              <w:rPr>
                <w:rFonts w:asciiTheme="minorHAnsi" w:hAnsiTheme="minorHAnsi" w:cstheme="minorHAnsi"/>
                <w:color w:val="000000" w:themeColor="text1"/>
                <w:sz w:val="20"/>
              </w:rPr>
              <w:t>”</w:t>
            </w:r>
            <w:r w:rsidR="00EA4176">
              <w:rPr>
                <w:rFonts w:asciiTheme="minorHAnsi" w:hAnsiTheme="minorHAnsi" w:cstheme="minorHAnsi"/>
                <w:color w:val="000000" w:themeColor="text1"/>
                <w:sz w:val="20"/>
              </w:rPr>
              <w:t>.</w:t>
            </w:r>
          </w:p>
          <w:p w14:paraId="0206FCF8" w14:textId="59B446E2" w:rsidR="00850254" w:rsidRPr="00757671" w:rsidRDefault="00850254" w:rsidP="00850254">
            <w:pPr>
              <w:jc w:val="both"/>
              <w:rPr>
                <w:rFonts w:asciiTheme="minorHAnsi" w:hAnsiTheme="minorHAnsi" w:cstheme="minorHAnsi"/>
                <w:sz w:val="20"/>
                <w:szCs w:val="20"/>
              </w:rPr>
            </w:pPr>
          </w:p>
        </w:tc>
      </w:tr>
      <w:tr w:rsidR="00850254" w:rsidRPr="002D6653" w14:paraId="32167B8B" w14:textId="77777777" w:rsidTr="0D9F930C">
        <w:trPr>
          <w:trHeight w:val="465"/>
        </w:trPr>
        <w:tc>
          <w:tcPr>
            <w:tcW w:w="892" w:type="dxa"/>
            <w:shd w:val="clear" w:color="auto" w:fill="auto"/>
          </w:tcPr>
          <w:p w14:paraId="7D7B983A" w14:textId="40B27701" w:rsidR="00850254" w:rsidRDefault="0030048D" w:rsidP="00850254">
            <w:pPr>
              <w:spacing w:before="120" w:after="120"/>
              <w:jc w:val="both"/>
              <w:rPr>
                <w:rFonts w:asciiTheme="minorHAnsi" w:hAnsiTheme="minorHAnsi" w:cstheme="minorHAnsi"/>
                <w:b/>
                <w:sz w:val="20"/>
                <w:szCs w:val="20"/>
              </w:rPr>
            </w:pPr>
            <w:r>
              <w:rPr>
                <w:rFonts w:asciiTheme="minorHAnsi" w:hAnsiTheme="minorHAnsi" w:cstheme="minorHAnsi"/>
                <w:b/>
                <w:sz w:val="20"/>
                <w:szCs w:val="20"/>
              </w:rPr>
              <w:t>8</w:t>
            </w:r>
          </w:p>
        </w:tc>
        <w:tc>
          <w:tcPr>
            <w:tcW w:w="1791" w:type="dxa"/>
            <w:shd w:val="clear" w:color="auto" w:fill="auto"/>
          </w:tcPr>
          <w:p w14:paraId="098BF3B1" w14:textId="10C32FE1" w:rsidR="00850254" w:rsidRPr="002D6653" w:rsidRDefault="00850254" w:rsidP="00850254">
            <w:pPr>
              <w:spacing w:before="60" w:after="60"/>
              <w:jc w:val="both"/>
              <w:rPr>
                <w:rFonts w:asciiTheme="minorHAnsi" w:hAnsiTheme="minorHAnsi" w:cstheme="minorHAnsi"/>
                <w:sz w:val="20"/>
                <w:szCs w:val="20"/>
              </w:rPr>
            </w:pPr>
            <w:r w:rsidRPr="00A0042B">
              <w:rPr>
                <w:rFonts w:asciiTheme="minorHAnsi" w:hAnsiTheme="minorHAnsi" w:cstheme="minorHAnsi"/>
                <w:color w:val="000000" w:themeColor="text1"/>
                <w:sz w:val="20"/>
              </w:rPr>
              <w:t>UKE</w:t>
            </w:r>
          </w:p>
        </w:tc>
        <w:tc>
          <w:tcPr>
            <w:tcW w:w="1990" w:type="dxa"/>
            <w:shd w:val="clear" w:color="auto" w:fill="auto"/>
          </w:tcPr>
          <w:p w14:paraId="4A819D42" w14:textId="702F65E1" w:rsidR="00850254" w:rsidRDefault="00850254" w:rsidP="00850254">
            <w:pPr>
              <w:jc w:val="both"/>
              <w:rPr>
                <w:rFonts w:asciiTheme="minorHAnsi" w:hAnsiTheme="minorHAnsi" w:cstheme="minorHAnsi"/>
                <w:color w:val="000000" w:themeColor="text1"/>
                <w:sz w:val="20"/>
              </w:rPr>
            </w:pPr>
            <w:r>
              <w:rPr>
                <w:rFonts w:asciiTheme="minorHAnsi" w:hAnsiTheme="minorHAnsi" w:cstheme="minorHAnsi"/>
                <w:color w:val="000000" w:themeColor="text1"/>
                <w:sz w:val="20"/>
              </w:rPr>
              <w:t>Załącznik</w:t>
            </w:r>
            <w:r w:rsidRPr="00A0042B">
              <w:rPr>
                <w:rFonts w:asciiTheme="minorHAnsi" w:hAnsiTheme="minorHAnsi" w:cstheme="minorHAnsi"/>
                <w:color w:val="000000" w:themeColor="text1"/>
                <w:sz w:val="20"/>
              </w:rPr>
              <w:t xml:space="preserve"> nr 1</w:t>
            </w:r>
          </w:p>
          <w:p w14:paraId="59108246" w14:textId="697AD520" w:rsidR="00850254" w:rsidRPr="002D6653" w:rsidRDefault="00850254" w:rsidP="00850254">
            <w:pPr>
              <w:jc w:val="both"/>
              <w:rPr>
                <w:rFonts w:asciiTheme="minorHAnsi" w:hAnsiTheme="minorHAnsi" w:cstheme="minorHAnsi"/>
                <w:sz w:val="20"/>
                <w:szCs w:val="20"/>
              </w:rPr>
            </w:pPr>
            <w:r w:rsidRPr="00A0042B">
              <w:rPr>
                <w:rFonts w:asciiTheme="minorHAnsi" w:hAnsiTheme="minorHAnsi" w:cstheme="minorHAnsi"/>
                <w:color w:val="000000" w:themeColor="text1"/>
                <w:sz w:val="20"/>
              </w:rPr>
              <w:t xml:space="preserve">pkt 17 w części I </w:t>
            </w:r>
          </w:p>
        </w:tc>
        <w:tc>
          <w:tcPr>
            <w:tcW w:w="5910" w:type="dxa"/>
            <w:shd w:val="clear" w:color="auto" w:fill="auto"/>
          </w:tcPr>
          <w:p w14:paraId="6962A160" w14:textId="34452474" w:rsidR="00850254" w:rsidRPr="002D6653" w:rsidRDefault="00850254" w:rsidP="00850254">
            <w:pPr>
              <w:jc w:val="both"/>
              <w:rPr>
                <w:rFonts w:asciiTheme="minorHAnsi" w:hAnsiTheme="minorHAnsi" w:cstheme="minorHAnsi"/>
                <w:bCs/>
                <w:sz w:val="20"/>
                <w:szCs w:val="20"/>
              </w:rPr>
            </w:pPr>
            <w:r w:rsidRPr="00A0042B">
              <w:rPr>
                <w:rFonts w:asciiTheme="minorHAnsi" w:hAnsiTheme="minorHAnsi" w:cstheme="minorHAnsi"/>
                <w:color w:val="000000" w:themeColor="text1"/>
                <w:sz w:val="20"/>
              </w:rPr>
              <w:t>należy dodać wymóg zapewnienia ciągłości elektrycznej taśmy ostrzegawczo – lokalizacyjnej między jej zakończeniami.</w:t>
            </w:r>
          </w:p>
        </w:tc>
        <w:tc>
          <w:tcPr>
            <w:tcW w:w="4993" w:type="dxa"/>
          </w:tcPr>
          <w:p w14:paraId="5B944484" w14:textId="77777777" w:rsidR="00850254" w:rsidRPr="00E34825" w:rsidRDefault="00850254" w:rsidP="00850254">
            <w:pPr>
              <w:jc w:val="both"/>
              <w:rPr>
                <w:rFonts w:asciiTheme="minorHAnsi" w:hAnsiTheme="minorHAnsi" w:cstheme="minorHAnsi"/>
                <w:b/>
                <w:color w:val="000000" w:themeColor="text1"/>
                <w:sz w:val="20"/>
              </w:rPr>
            </w:pPr>
            <w:r w:rsidRPr="00E34825">
              <w:rPr>
                <w:rFonts w:asciiTheme="minorHAnsi" w:hAnsiTheme="minorHAnsi" w:cstheme="minorHAnsi"/>
                <w:b/>
                <w:color w:val="000000" w:themeColor="text1"/>
                <w:sz w:val="20"/>
              </w:rPr>
              <w:t>Uwaga uwzględniona</w:t>
            </w:r>
          </w:p>
          <w:p w14:paraId="621555A4" w14:textId="77777777" w:rsidR="00850254" w:rsidRDefault="00850254" w:rsidP="00850254">
            <w:pPr>
              <w:jc w:val="both"/>
              <w:rPr>
                <w:rFonts w:asciiTheme="minorHAnsi" w:hAnsiTheme="minorHAnsi" w:cstheme="minorHAnsi"/>
                <w:color w:val="000000" w:themeColor="text1"/>
                <w:sz w:val="20"/>
              </w:rPr>
            </w:pPr>
          </w:p>
          <w:p w14:paraId="3E24064D" w14:textId="77777777" w:rsidR="004B4903" w:rsidRDefault="00850254" w:rsidP="00850254">
            <w:pPr>
              <w:spacing w:line="259" w:lineRule="auto"/>
              <w:jc w:val="both"/>
              <w:rPr>
                <w:rFonts w:asciiTheme="minorHAnsi" w:hAnsiTheme="minorHAnsi" w:cstheme="minorHAnsi"/>
                <w:color w:val="000000" w:themeColor="text1"/>
                <w:sz w:val="20"/>
              </w:rPr>
            </w:pPr>
            <w:r>
              <w:rPr>
                <w:rFonts w:asciiTheme="minorHAnsi" w:hAnsiTheme="minorHAnsi" w:cstheme="minorHAnsi"/>
                <w:color w:val="000000" w:themeColor="text1"/>
                <w:sz w:val="20"/>
              </w:rPr>
              <w:t>Nadano brzmienie:</w:t>
            </w:r>
          </w:p>
          <w:p w14:paraId="07D5D9F0" w14:textId="0319E67D" w:rsidR="00850254" w:rsidRPr="002D6653" w:rsidRDefault="004B4903" w:rsidP="00DD5739">
            <w:pPr>
              <w:spacing w:line="259" w:lineRule="auto"/>
              <w:jc w:val="both"/>
              <w:rPr>
                <w:rFonts w:asciiTheme="minorHAnsi" w:hAnsiTheme="minorHAnsi" w:cstheme="minorBidi"/>
              </w:rPr>
            </w:pPr>
            <w:r>
              <w:t>„</w:t>
            </w:r>
            <w:r w:rsidR="00850254" w:rsidRPr="00451CBC">
              <w:rPr>
                <w:rFonts w:asciiTheme="minorHAnsi" w:hAnsiTheme="minorHAnsi" w:cstheme="minorHAnsi"/>
                <w:color w:val="000000" w:themeColor="text1"/>
                <w:sz w:val="20"/>
              </w:rPr>
              <w:t>17. Taśmę ostrzegawczo-lokalizacyjną, zapewniając</w:t>
            </w:r>
            <w:r w:rsidR="00DD5739">
              <w:rPr>
                <w:rFonts w:asciiTheme="minorHAnsi" w:hAnsiTheme="minorHAnsi" w:cstheme="minorHAnsi"/>
                <w:color w:val="000000" w:themeColor="text1"/>
                <w:sz w:val="20"/>
              </w:rPr>
              <w:t>ą</w:t>
            </w:r>
            <w:r w:rsidR="00850254" w:rsidRPr="00451CBC">
              <w:rPr>
                <w:rFonts w:asciiTheme="minorHAnsi" w:hAnsiTheme="minorHAnsi" w:cstheme="minorHAnsi"/>
                <w:color w:val="000000" w:themeColor="text1"/>
                <w:sz w:val="20"/>
              </w:rPr>
              <w:t xml:space="preserve"> ciągłość elektryczną na całej długości, o szerokości 100 ± 10 mm i grubości co najmniej 0,8 mm w kolorze pomarańczowym z czynnikiem lokalizacyjnym w postaci taśmy kwasoodpornej o szerokości co najmniej 25 mm i</w:t>
            </w:r>
            <w:r w:rsidR="0044786E">
              <w:rPr>
                <w:rFonts w:asciiTheme="minorHAnsi" w:hAnsiTheme="minorHAnsi" w:cstheme="minorHAnsi"/>
                <w:color w:val="000000" w:themeColor="text1"/>
                <w:sz w:val="20"/>
              </w:rPr>
              <w:t> </w:t>
            </w:r>
            <w:r w:rsidR="00850254" w:rsidRPr="00451CBC">
              <w:rPr>
                <w:rFonts w:asciiTheme="minorHAnsi" w:hAnsiTheme="minorHAnsi" w:cstheme="minorHAnsi"/>
                <w:color w:val="000000" w:themeColor="text1"/>
                <w:sz w:val="20"/>
              </w:rPr>
              <w:t>grubości</w:t>
            </w:r>
            <w:r w:rsidR="00DD5739">
              <w:rPr>
                <w:rFonts w:asciiTheme="minorHAnsi" w:hAnsiTheme="minorHAnsi" w:cstheme="minorHAnsi"/>
                <w:color w:val="000000" w:themeColor="text1"/>
                <w:sz w:val="20"/>
              </w:rPr>
              <w:t>,</w:t>
            </w:r>
            <w:r w:rsidR="00850254" w:rsidRPr="00451CBC">
              <w:rPr>
                <w:rFonts w:asciiTheme="minorHAnsi" w:hAnsiTheme="minorHAnsi" w:cstheme="minorHAnsi"/>
                <w:color w:val="000000" w:themeColor="text1"/>
                <w:sz w:val="20"/>
              </w:rPr>
              <w:t xml:space="preserve"> co najmniej 0,1 mm, z perforowanymi otworami o średnicy</w:t>
            </w:r>
            <w:r w:rsidR="00DD5739">
              <w:rPr>
                <w:rFonts w:asciiTheme="minorHAnsi" w:hAnsiTheme="minorHAnsi" w:cstheme="minorHAnsi"/>
                <w:color w:val="000000" w:themeColor="text1"/>
                <w:sz w:val="20"/>
              </w:rPr>
              <w:t>,</w:t>
            </w:r>
            <w:r w:rsidR="00850254" w:rsidRPr="00451CBC">
              <w:rPr>
                <w:rFonts w:asciiTheme="minorHAnsi" w:hAnsiTheme="minorHAnsi" w:cstheme="minorHAnsi"/>
                <w:color w:val="000000" w:themeColor="text1"/>
                <w:sz w:val="20"/>
              </w:rPr>
              <w:t xml:space="preserve"> co najmniej 10 mm i z trwałym napisem „Uwaga Kanał Technologiczny”</w:t>
            </w:r>
            <w:r w:rsidR="00DD5739">
              <w:rPr>
                <w:rFonts w:asciiTheme="minorHAnsi" w:hAnsiTheme="minorHAnsi" w:cstheme="minorHAnsi"/>
                <w:color w:val="000000" w:themeColor="text1"/>
                <w:sz w:val="20"/>
              </w:rPr>
              <w:t>,</w:t>
            </w:r>
            <w:r w:rsidR="00850254" w:rsidRPr="00451CBC">
              <w:rPr>
                <w:rFonts w:asciiTheme="minorHAnsi" w:hAnsiTheme="minorHAnsi" w:cstheme="minorHAnsi"/>
                <w:color w:val="000000" w:themeColor="text1"/>
                <w:sz w:val="20"/>
              </w:rPr>
              <w:t xml:space="preserve"> umieszcza się bezpośrednio nad ciągami KT.</w:t>
            </w:r>
            <w:r>
              <w:rPr>
                <w:rFonts w:asciiTheme="minorHAnsi" w:hAnsiTheme="minorHAnsi" w:cstheme="minorHAnsi"/>
                <w:color w:val="000000" w:themeColor="text1"/>
                <w:sz w:val="20"/>
              </w:rPr>
              <w:t>”.</w:t>
            </w:r>
          </w:p>
        </w:tc>
      </w:tr>
      <w:tr w:rsidR="00850254" w:rsidRPr="002D6653" w14:paraId="7BD5612E" w14:textId="77777777" w:rsidTr="0D9F930C">
        <w:trPr>
          <w:trHeight w:val="465"/>
        </w:trPr>
        <w:tc>
          <w:tcPr>
            <w:tcW w:w="892" w:type="dxa"/>
            <w:shd w:val="clear" w:color="auto" w:fill="auto"/>
          </w:tcPr>
          <w:p w14:paraId="40BDBEE8" w14:textId="32CB16F2" w:rsidR="00850254" w:rsidRPr="002D6653" w:rsidRDefault="0030048D" w:rsidP="00850254">
            <w:pPr>
              <w:spacing w:before="120" w:after="120"/>
              <w:jc w:val="both"/>
              <w:rPr>
                <w:rFonts w:asciiTheme="minorHAnsi" w:hAnsiTheme="minorHAnsi" w:cstheme="minorHAnsi"/>
                <w:b/>
                <w:sz w:val="20"/>
                <w:szCs w:val="20"/>
              </w:rPr>
            </w:pPr>
            <w:r>
              <w:rPr>
                <w:rFonts w:asciiTheme="minorHAnsi" w:hAnsiTheme="minorHAnsi" w:cstheme="minorHAnsi"/>
                <w:b/>
                <w:sz w:val="20"/>
                <w:szCs w:val="20"/>
              </w:rPr>
              <w:t>9</w:t>
            </w:r>
          </w:p>
        </w:tc>
        <w:tc>
          <w:tcPr>
            <w:tcW w:w="1791" w:type="dxa"/>
            <w:shd w:val="clear" w:color="auto" w:fill="auto"/>
          </w:tcPr>
          <w:p w14:paraId="4A51A82B" w14:textId="35D3F47B" w:rsidR="00850254" w:rsidRPr="002D6653" w:rsidRDefault="00850254" w:rsidP="00850254">
            <w:pPr>
              <w:spacing w:before="60" w:after="60"/>
              <w:jc w:val="both"/>
              <w:rPr>
                <w:rFonts w:asciiTheme="minorHAnsi" w:hAnsiTheme="minorHAnsi" w:cstheme="minorHAnsi"/>
                <w:sz w:val="20"/>
                <w:szCs w:val="20"/>
              </w:rPr>
            </w:pPr>
            <w:r w:rsidRPr="00A0042B">
              <w:rPr>
                <w:rFonts w:asciiTheme="minorHAnsi" w:hAnsiTheme="minorHAnsi" w:cstheme="minorHAnsi"/>
                <w:color w:val="000000" w:themeColor="text1"/>
                <w:sz w:val="20"/>
              </w:rPr>
              <w:t>UKE</w:t>
            </w:r>
          </w:p>
        </w:tc>
        <w:tc>
          <w:tcPr>
            <w:tcW w:w="1990" w:type="dxa"/>
            <w:shd w:val="clear" w:color="auto" w:fill="auto"/>
          </w:tcPr>
          <w:p w14:paraId="382499D4" w14:textId="77777777" w:rsidR="00850254" w:rsidRDefault="00850254" w:rsidP="00850254">
            <w:pPr>
              <w:jc w:val="both"/>
              <w:rPr>
                <w:rFonts w:asciiTheme="minorHAnsi" w:hAnsiTheme="minorHAnsi" w:cstheme="minorHAnsi"/>
                <w:color w:val="000000" w:themeColor="text1"/>
                <w:sz w:val="20"/>
              </w:rPr>
            </w:pPr>
            <w:r>
              <w:rPr>
                <w:rFonts w:asciiTheme="minorHAnsi" w:hAnsiTheme="minorHAnsi" w:cstheme="minorHAnsi"/>
                <w:color w:val="000000" w:themeColor="text1"/>
                <w:sz w:val="20"/>
              </w:rPr>
              <w:t>Załącznik</w:t>
            </w:r>
            <w:r w:rsidRPr="00A0042B">
              <w:rPr>
                <w:rFonts w:asciiTheme="minorHAnsi" w:hAnsiTheme="minorHAnsi" w:cstheme="minorHAnsi"/>
                <w:color w:val="000000" w:themeColor="text1"/>
                <w:sz w:val="20"/>
              </w:rPr>
              <w:t xml:space="preserve"> nr 1</w:t>
            </w:r>
          </w:p>
          <w:p w14:paraId="39AD5AF4" w14:textId="6F2E2AB6" w:rsidR="00850254" w:rsidRPr="002D6653" w:rsidRDefault="00850254" w:rsidP="00850254">
            <w:pPr>
              <w:jc w:val="both"/>
              <w:rPr>
                <w:rFonts w:asciiTheme="minorHAnsi" w:hAnsiTheme="minorHAnsi" w:cstheme="minorHAnsi"/>
                <w:bCs/>
                <w:sz w:val="20"/>
                <w:szCs w:val="20"/>
              </w:rPr>
            </w:pPr>
            <w:r w:rsidRPr="00A0042B">
              <w:rPr>
                <w:rFonts w:asciiTheme="minorHAnsi" w:hAnsiTheme="minorHAnsi" w:cstheme="minorHAnsi"/>
                <w:color w:val="000000" w:themeColor="text1"/>
                <w:sz w:val="20"/>
              </w:rPr>
              <w:t xml:space="preserve">pkt 19 w części I </w:t>
            </w:r>
          </w:p>
        </w:tc>
        <w:tc>
          <w:tcPr>
            <w:tcW w:w="5910" w:type="dxa"/>
            <w:shd w:val="clear" w:color="auto" w:fill="auto"/>
          </w:tcPr>
          <w:p w14:paraId="4A871A9B" w14:textId="4584DF7F" w:rsidR="00850254" w:rsidRPr="002D6653" w:rsidRDefault="00850254" w:rsidP="00850254">
            <w:pPr>
              <w:jc w:val="both"/>
              <w:rPr>
                <w:rFonts w:asciiTheme="minorHAnsi" w:hAnsiTheme="minorHAnsi" w:cstheme="minorHAnsi"/>
                <w:bCs/>
                <w:sz w:val="20"/>
                <w:szCs w:val="20"/>
              </w:rPr>
            </w:pPr>
            <w:r w:rsidRPr="00A0042B">
              <w:rPr>
                <w:rFonts w:asciiTheme="minorHAnsi" w:hAnsiTheme="minorHAnsi" w:cstheme="minorHAnsi"/>
                <w:color w:val="000000" w:themeColor="text1"/>
                <w:sz w:val="20"/>
              </w:rPr>
              <w:t xml:space="preserve">Ponadto proponuje się uzupełnienie punktu 19 w części I załącznika nr 1 do projektu rozporządzenia, tak aby wynikało z niego, że do oznaczania i lokalizacji punktów charakterystycznych ciągów kanałów technologicznych mogą być stosowane, poza znacznikami elektromagnetycznymi, także słupki </w:t>
            </w:r>
            <w:proofErr w:type="spellStart"/>
            <w:r w:rsidRPr="00A0042B">
              <w:rPr>
                <w:rFonts w:asciiTheme="minorHAnsi" w:hAnsiTheme="minorHAnsi" w:cstheme="minorHAnsi"/>
                <w:color w:val="000000" w:themeColor="text1"/>
                <w:sz w:val="20"/>
              </w:rPr>
              <w:t>oznaczeniowo</w:t>
            </w:r>
            <w:proofErr w:type="spellEnd"/>
            <w:r w:rsidRPr="00A0042B">
              <w:rPr>
                <w:rFonts w:asciiTheme="minorHAnsi" w:hAnsiTheme="minorHAnsi" w:cstheme="minorHAnsi"/>
                <w:color w:val="000000" w:themeColor="text1"/>
                <w:sz w:val="20"/>
              </w:rPr>
              <w:t xml:space="preserve"> – pomiarowe. Dodatkowo proponuje się uzupełnić ten przepis o wskazanie, że w przypadku braku słupków </w:t>
            </w:r>
            <w:proofErr w:type="spellStart"/>
            <w:r w:rsidRPr="00A0042B">
              <w:rPr>
                <w:rFonts w:asciiTheme="minorHAnsi" w:hAnsiTheme="minorHAnsi" w:cstheme="minorHAnsi"/>
                <w:color w:val="000000" w:themeColor="text1"/>
                <w:sz w:val="20"/>
              </w:rPr>
              <w:t>oznaczeniowo</w:t>
            </w:r>
            <w:proofErr w:type="spellEnd"/>
            <w:r w:rsidRPr="00A0042B">
              <w:rPr>
                <w:rFonts w:asciiTheme="minorHAnsi" w:hAnsiTheme="minorHAnsi" w:cstheme="minorHAnsi"/>
                <w:color w:val="000000" w:themeColor="text1"/>
                <w:sz w:val="20"/>
              </w:rPr>
              <w:t xml:space="preserve"> – pomiarowych, w których zakończone są taśmy ostrzegawczo – lokalizacyjne, zasadne jest umiejscowienie końców taśmy ostrzegawczo – lokalizacyjnej </w:t>
            </w:r>
            <w:r w:rsidRPr="00A0042B">
              <w:rPr>
                <w:rFonts w:asciiTheme="minorHAnsi" w:hAnsiTheme="minorHAnsi" w:cstheme="minorHAnsi"/>
                <w:color w:val="000000" w:themeColor="text1"/>
                <w:sz w:val="20"/>
              </w:rPr>
              <w:lastRenderedPageBreak/>
              <w:t>w</w:t>
            </w:r>
            <w:r w:rsidR="0044786E">
              <w:rPr>
                <w:rFonts w:asciiTheme="minorHAnsi" w:hAnsiTheme="minorHAnsi" w:cstheme="minorHAnsi"/>
                <w:color w:val="000000" w:themeColor="text1"/>
                <w:sz w:val="20"/>
              </w:rPr>
              <w:t> </w:t>
            </w:r>
            <w:r w:rsidRPr="00A0042B">
              <w:rPr>
                <w:rFonts w:asciiTheme="minorHAnsi" w:hAnsiTheme="minorHAnsi" w:cstheme="minorHAnsi"/>
                <w:color w:val="000000" w:themeColor="text1"/>
                <w:sz w:val="20"/>
              </w:rPr>
              <w:t>studniach kablowych w celu umożliwienia galwanicznego podłączenia tej taśmy do generatora urządzenia lokalizacyjnego.</w:t>
            </w:r>
          </w:p>
        </w:tc>
        <w:tc>
          <w:tcPr>
            <w:tcW w:w="4993" w:type="dxa"/>
          </w:tcPr>
          <w:p w14:paraId="204AF021" w14:textId="3FFADE4E" w:rsidR="00850254" w:rsidRPr="00E34825" w:rsidRDefault="00850254" w:rsidP="00850254">
            <w:pPr>
              <w:jc w:val="both"/>
              <w:rPr>
                <w:rFonts w:asciiTheme="minorHAnsi" w:hAnsiTheme="minorHAnsi" w:cstheme="minorHAnsi"/>
                <w:b/>
                <w:color w:val="000000" w:themeColor="text1"/>
                <w:sz w:val="20"/>
              </w:rPr>
            </w:pPr>
            <w:r w:rsidRPr="00E34825">
              <w:rPr>
                <w:rFonts w:asciiTheme="minorHAnsi" w:hAnsiTheme="minorHAnsi" w:cstheme="minorHAnsi"/>
                <w:b/>
                <w:color w:val="000000" w:themeColor="text1"/>
                <w:sz w:val="20"/>
              </w:rPr>
              <w:lastRenderedPageBreak/>
              <w:t>Uwaga nieuwzględniona</w:t>
            </w:r>
          </w:p>
          <w:p w14:paraId="75EAD8C2" w14:textId="77777777" w:rsidR="00850254" w:rsidRDefault="00850254" w:rsidP="00850254">
            <w:pPr>
              <w:jc w:val="both"/>
              <w:rPr>
                <w:rFonts w:asciiTheme="minorHAnsi" w:hAnsiTheme="minorHAnsi" w:cstheme="minorHAnsi"/>
                <w:color w:val="000000" w:themeColor="text1"/>
                <w:sz w:val="20"/>
              </w:rPr>
            </w:pPr>
          </w:p>
          <w:p w14:paraId="3C148F97" w14:textId="03B41D52" w:rsidR="00850254" w:rsidRPr="004D4B74" w:rsidRDefault="00850254" w:rsidP="00DD5739">
            <w:pPr>
              <w:spacing w:line="259" w:lineRule="auto"/>
              <w:jc w:val="both"/>
              <w:rPr>
                <w:rFonts w:asciiTheme="minorHAnsi" w:hAnsiTheme="minorHAnsi" w:cstheme="minorBidi"/>
                <w:sz w:val="20"/>
                <w:szCs w:val="20"/>
              </w:rPr>
            </w:pPr>
            <w:r>
              <w:rPr>
                <w:rFonts w:asciiTheme="minorHAnsi" w:hAnsiTheme="minorHAnsi" w:cstheme="minorHAnsi"/>
                <w:color w:val="000000" w:themeColor="text1"/>
                <w:sz w:val="20"/>
              </w:rPr>
              <w:t xml:space="preserve">Uwzględnienie uwagi wykraczałoby poza zakres upoważnienia do wydania rozporządzenia. </w:t>
            </w:r>
            <w:r w:rsidRPr="00A0042B">
              <w:rPr>
                <w:rFonts w:asciiTheme="minorHAnsi" w:hAnsiTheme="minorHAnsi" w:cstheme="minorHAnsi"/>
                <w:color w:val="000000" w:themeColor="text1"/>
                <w:sz w:val="20"/>
              </w:rPr>
              <w:t xml:space="preserve">Przy takim zapisie trzeba byłoby określić wymagania na słupki, co </w:t>
            </w:r>
            <w:r w:rsidR="00DD5739">
              <w:rPr>
                <w:rFonts w:asciiTheme="minorHAnsi" w:hAnsiTheme="minorHAnsi" w:cstheme="minorHAnsi"/>
                <w:color w:val="000000" w:themeColor="text1"/>
                <w:sz w:val="20"/>
              </w:rPr>
              <w:t xml:space="preserve">jest poza </w:t>
            </w:r>
            <w:r w:rsidRPr="00A0042B">
              <w:rPr>
                <w:rFonts w:asciiTheme="minorHAnsi" w:hAnsiTheme="minorHAnsi" w:cstheme="minorHAnsi"/>
                <w:color w:val="000000" w:themeColor="text1"/>
                <w:sz w:val="20"/>
              </w:rPr>
              <w:t xml:space="preserve"> zakres</w:t>
            </w:r>
            <w:r w:rsidR="00DD5739">
              <w:rPr>
                <w:rFonts w:asciiTheme="minorHAnsi" w:hAnsiTheme="minorHAnsi" w:cstheme="minorHAnsi"/>
                <w:color w:val="000000" w:themeColor="text1"/>
                <w:sz w:val="20"/>
              </w:rPr>
              <w:t>em</w:t>
            </w:r>
            <w:r w:rsidRPr="00A0042B">
              <w:rPr>
                <w:rFonts w:asciiTheme="minorHAnsi" w:hAnsiTheme="minorHAnsi" w:cstheme="minorHAnsi"/>
                <w:color w:val="000000" w:themeColor="text1"/>
                <w:sz w:val="20"/>
              </w:rPr>
              <w:t xml:space="preserve"> niniejszego rozporządzenia</w:t>
            </w:r>
            <w:r w:rsidR="00773AFF">
              <w:rPr>
                <w:rFonts w:asciiTheme="minorHAnsi" w:hAnsiTheme="minorHAnsi" w:cstheme="minorHAnsi"/>
                <w:color w:val="000000" w:themeColor="text1"/>
                <w:sz w:val="20"/>
              </w:rPr>
              <w:t>.</w:t>
            </w:r>
          </w:p>
        </w:tc>
      </w:tr>
      <w:tr w:rsidR="00850254" w:rsidRPr="002D6653" w14:paraId="3DDA0E2C" w14:textId="77777777" w:rsidTr="0D9F930C">
        <w:trPr>
          <w:trHeight w:val="465"/>
        </w:trPr>
        <w:tc>
          <w:tcPr>
            <w:tcW w:w="892" w:type="dxa"/>
            <w:shd w:val="clear" w:color="auto" w:fill="auto"/>
          </w:tcPr>
          <w:p w14:paraId="44F5F232" w14:textId="7DCB71C5" w:rsidR="00850254" w:rsidRDefault="00850254" w:rsidP="00850254">
            <w:pPr>
              <w:spacing w:before="120" w:after="120"/>
              <w:jc w:val="both"/>
              <w:rPr>
                <w:rFonts w:asciiTheme="minorHAnsi" w:hAnsiTheme="minorHAnsi" w:cstheme="minorHAnsi"/>
                <w:b/>
                <w:sz w:val="20"/>
                <w:szCs w:val="20"/>
              </w:rPr>
            </w:pPr>
            <w:r>
              <w:rPr>
                <w:rFonts w:asciiTheme="minorHAnsi" w:hAnsiTheme="minorHAnsi" w:cstheme="minorHAnsi"/>
                <w:b/>
                <w:sz w:val="20"/>
                <w:szCs w:val="20"/>
              </w:rPr>
              <w:t>1</w:t>
            </w:r>
            <w:r w:rsidR="0030048D">
              <w:rPr>
                <w:rFonts w:asciiTheme="minorHAnsi" w:hAnsiTheme="minorHAnsi" w:cstheme="minorHAnsi"/>
                <w:b/>
                <w:sz w:val="20"/>
                <w:szCs w:val="20"/>
              </w:rPr>
              <w:t>0</w:t>
            </w:r>
          </w:p>
        </w:tc>
        <w:tc>
          <w:tcPr>
            <w:tcW w:w="1791" w:type="dxa"/>
            <w:shd w:val="clear" w:color="auto" w:fill="auto"/>
          </w:tcPr>
          <w:p w14:paraId="2A593E7C" w14:textId="17A74E8C" w:rsidR="00850254" w:rsidRPr="002D6653" w:rsidRDefault="00850254" w:rsidP="00850254">
            <w:pPr>
              <w:spacing w:before="60" w:after="60"/>
              <w:jc w:val="both"/>
              <w:rPr>
                <w:rFonts w:asciiTheme="minorHAnsi" w:hAnsiTheme="minorHAnsi" w:cstheme="minorHAnsi"/>
                <w:sz w:val="20"/>
                <w:szCs w:val="20"/>
              </w:rPr>
            </w:pPr>
            <w:r w:rsidRPr="00A0042B">
              <w:rPr>
                <w:rFonts w:asciiTheme="minorHAnsi" w:hAnsiTheme="minorHAnsi" w:cstheme="minorHAnsi"/>
                <w:color w:val="000000" w:themeColor="text1"/>
                <w:sz w:val="20"/>
              </w:rPr>
              <w:t>PKN</w:t>
            </w:r>
          </w:p>
        </w:tc>
        <w:tc>
          <w:tcPr>
            <w:tcW w:w="1990" w:type="dxa"/>
            <w:shd w:val="clear" w:color="auto" w:fill="auto"/>
          </w:tcPr>
          <w:p w14:paraId="59297A02" w14:textId="09BA1E25" w:rsidR="00850254" w:rsidRDefault="00850254" w:rsidP="00850254">
            <w:pPr>
              <w:jc w:val="both"/>
              <w:rPr>
                <w:rFonts w:asciiTheme="minorHAnsi" w:hAnsiTheme="minorHAnsi" w:cstheme="minorHAnsi"/>
                <w:color w:val="000000" w:themeColor="text1"/>
                <w:sz w:val="20"/>
              </w:rPr>
            </w:pPr>
            <w:r>
              <w:rPr>
                <w:rFonts w:asciiTheme="minorHAnsi" w:hAnsiTheme="minorHAnsi" w:cstheme="minorHAnsi"/>
                <w:color w:val="000000" w:themeColor="text1"/>
                <w:sz w:val="20"/>
              </w:rPr>
              <w:t>Uzasadnienie</w:t>
            </w:r>
          </w:p>
          <w:p w14:paraId="3CBED81D" w14:textId="087D05D6" w:rsidR="00850254" w:rsidRPr="002D6653" w:rsidRDefault="00850254" w:rsidP="00850254">
            <w:pPr>
              <w:jc w:val="both"/>
              <w:rPr>
                <w:rFonts w:asciiTheme="minorHAnsi" w:hAnsiTheme="minorHAnsi" w:cstheme="minorHAnsi"/>
                <w:bCs/>
                <w:sz w:val="20"/>
                <w:szCs w:val="20"/>
              </w:rPr>
            </w:pPr>
            <w:r w:rsidRPr="00A0042B">
              <w:rPr>
                <w:rFonts w:asciiTheme="minorHAnsi" w:hAnsiTheme="minorHAnsi" w:cstheme="minorHAnsi"/>
                <w:color w:val="000000" w:themeColor="text1"/>
                <w:sz w:val="20"/>
              </w:rPr>
              <w:t>2. Zakres regulacji rozporządzenia, wyliczenie norm</w:t>
            </w:r>
          </w:p>
        </w:tc>
        <w:tc>
          <w:tcPr>
            <w:tcW w:w="5910" w:type="dxa"/>
            <w:shd w:val="clear" w:color="auto" w:fill="auto"/>
          </w:tcPr>
          <w:p w14:paraId="3F55A654"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Brak spacji między numerem normy PN–EN 206-1, a tytułem normy. Błędny numer normy. Poprawny numer normy to: PN-EN 206+A1</w:t>
            </w:r>
          </w:p>
          <w:p w14:paraId="53DAB836" w14:textId="77777777" w:rsidR="00850254" w:rsidRPr="00A0042B" w:rsidRDefault="00850254" w:rsidP="00850254">
            <w:pPr>
              <w:jc w:val="both"/>
              <w:rPr>
                <w:rFonts w:asciiTheme="minorHAnsi" w:hAnsiTheme="minorHAnsi" w:cstheme="minorHAnsi"/>
                <w:color w:val="000000" w:themeColor="text1"/>
                <w:sz w:val="20"/>
              </w:rPr>
            </w:pPr>
          </w:p>
          <w:p w14:paraId="08D9C557"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Błędny zapis tytułu normy. Po „Beton” powinien być myślnik zamiast kropki. Poprawny zapis to:</w:t>
            </w:r>
          </w:p>
          <w:p w14:paraId="2574464A" w14:textId="77777777" w:rsidR="00850254" w:rsidRPr="00A0042B" w:rsidRDefault="00850254" w:rsidP="00850254">
            <w:pPr>
              <w:jc w:val="both"/>
              <w:rPr>
                <w:rFonts w:asciiTheme="minorHAnsi" w:hAnsiTheme="minorHAnsi" w:cstheme="minorHAnsi"/>
                <w:color w:val="000000" w:themeColor="text1"/>
                <w:sz w:val="20"/>
              </w:rPr>
            </w:pPr>
          </w:p>
          <w:p w14:paraId="78B95ABF"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Beton - Wymagania, właściwości, produkcja i zgodność</w:t>
            </w:r>
          </w:p>
          <w:p w14:paraId="79DB57BB" w14:textId="77777777" w:rsidR="00850254" w:rsidRPr="00A0042B" w:rsidRDefault="00850254" w:rsidP="00850254">
            <w:pPr>
              <w:jc w:val="both"/>
              <w:rPr>
                <w:rFonts w:asciiTheme="minorHAnsi" w:hAnsiTheme="minorHAnsi" w:cstheme="minorHAnsi"/>
                <w:color w:val="000000" w:themeColor="text1"/>
                <w:sz w:val="20"/>
              </w:rPr>
            </w:pPr>
          </w:p>
          <w:p w14:paraId="6EC194FF"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Błędny zapis tytułu normy PN-EN ISO 1133-1. Przed „Część 1” powinien być myślnik zamiast kropki. Brak spacji między „Część 1” a „Metoda”. Poprawny zapis to:</w:t>
            </w:r>
          </w:p>
          <w:p w14:paraId="137DE26A" w14:textId="77777777" w:rsidR="00850254" w:rsidRPr="00A0042B" w:rsidRDefault="00850254" w:rsidP="00850254">
            <w:pPr>
              <w:jc w:val="both"/>
              <w:rPr>
                <w:rFonts w:asciiTheme="minorHAnsi" w:hAnsiTheme="minorHAnsi" w:cstheme="minorHAnsi"/>
                <w:color w:val="000000" w:themeColor="text1"/>
                <w:sz w:val="20"/>
              </w:rPr>
            </w:pPr>
          </w:p>
          <w:p w14:paraId="5F63C603"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Tworzywa sztuczne - Oznaczanie masowego wskaźnika szybkości płynięcia (MFR) i objętościowego wskaźnika szybkości płynięcia (MVR) tworzyw termoplastycznych - Część 1: Metoda standardowa</w:t>
            </w:r>
          </w:p>
          <w:p w14:paraId="11B04233" w14:textId="77777777" w:rsidR="00850254" w:rsidRPr="00A0042B" w:rsidRDefault="00850254" w:rsidP="00850254">
            <w:pPr>
              <w:jc w:val="both"/>
              <w:rPr>
                <w:rFonts w:asciiTheme="minorHAnsi" w:hAnsiTheme="minorHAnsi" w:cstheme="minorHAnsi"/>
                <w:color w:val="000000" w:themeColor="text1"/>
                <w:sz w:val="20"/>
              </w:rPr>
            </w:pPr>
          </w:p>
          <w:p w14:paraId="31E86197"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Błędny zapis tytułu normy PN-EN ISO 9969. Przed „Oznaczanie” powinien być myślnik zamiast kropki. Poprawny zapis to:</w:t>
            </w:r>
          </w:p>
          <w:p w14:paraId="3AF4A723" w14:textId="77777777" w:rsidR="00850254" w:rsidRPr="00A0042B" w:rsidRDefault="00850254" w:rsidP="00850254">
            <w:pPr>
              <w:jc w:val="both"/>
              <w:rPr>
                <w:rFonts w:asciiTheme="minorHAnsi" w:hAnsiTheme="minorHAnsi" w:cstheme="minorHAnsi"/>
                <w:color w:val="000000" w:themeColor="text1"/>
                <w:sz w:val="20"/>
              </w:rPr>
            </w:pPr>
          </w:p>
          <w:p w14:paraId="56BCB5EA"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Rury z tworzyw termoplastycznych - Oznaczanie sztywności obwodowej</w:t>
            </w:r>
          </w:p>
          <w:p w14:paraId="209BC7CC" w14:textId="77777777" w:rsidR="00850254" w:rsidRPr="00A0042B" w:rsidRDefault="00850254" w:rsidP="00850254">
            <w:pPr>
              <w:jc w:val="both"/>
              <w:rPr>
                <w:rFonts w:asciiTheme="minorHAnsi" w:hAnsiTheme="minorHAnsi" w:cstheme="minorHAnsi"/>
                <w:color w:val="000000" w:themeColor="text1"/>
                <w:sz w:val="20"/>
              </w:rPr>
            </w:pPr>
          </w:p>
          <w:p w14:paraId="134CA545"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Błędny zapis tytuł normy. Jest to tytuł normy PN-EN 60794-5:2007, która jest wycofana. Poprawny tytuł opublikowanej normy PN-EN 60794-5 (która została opublikowana w języku oryginału) to:</w:t>
            </w:r>
          </w:p>
          <w:p w14:paraId="7E6CF877" w14:textId="77777777" w:rsidR="00850254" w:rsidRPr="00A0042B" w:rsidRDefault="00850254" w:rsidP="00850254">
            <w:pPr>
              <w:jc w:val="both"/>
              <w:rPr>
                <w:rFonts w:asciiTheme="minorHAnsi" w:hAnsiTheme="minorHAnsi" w:cstheme="minorHAnsi"/>
                <w:color w:val="000000" w:themeColor="text1"/>
                <w:sz w:val="20"/>
              </w:rPr>
            </w:pPr>
          </w:p>
          <w:p w14:paraId="3584FA79"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 xml:space="preserve">Kable światłowodowe - Część 5: Specyfikacja grupowa - Kable wdmuchiwane do </w:t>
            </w:r>
            <w:proofErr w:type="spellStart"/>
            <w:r w:rsidRPr="00A0042B">
              <w:rPr>
                <w:rFonts w:asciiTheme="minorHAnsi" w:hAnsiTheme="minorHAnsi" w:cstheme="minorHAnsi"/>
                <w:color w:val="000000" w:themeColor="text1"/>
                <w:sz w:val="20"/>
              </w:rPr>
              <w:t>mikrokanalizacji</w:t>
            </w:r>
            <w:proofErr w:type="spellEnd"/>
            <w:r w:rsidRPr="00A0042B">
              <w:rPr>
                <w:rFonts w:asciiTheme="minorHAnsi" w:hAnsiTheme="minorHAnsi" w:cstheme="minorHAnsi"/>
                <w:color w:val="000000" w:themeColor="text1"/>
                <w:sz w:val="20"/>
              </w:rPr>
              <w:t xml:space="preserve"> kablowej</w:t>
            </w:r>
          </w:p>
          <w:p w14:paraId="4989B691" w14:textId="77777777" w:rsidR="00850254" w:rsidRPr="00A0042B" w:rsidRDefault="00850254" w:rsidP="00850254">
            <w:pPr>
              <w:jc w:val="both"/>
              <w:rPr>
                <w:rFonts w:asciiTheme="minorHAnsi" w:hAnsiTheme="minorHAnsi" w:cstheme="minorHAnsi"/>
                <w:color w:val="000000" w:themeColor="text1"/>
                <w:sz w:val="20"/>
              </w:rPr>
            </w:pPr>
          </w:p>
          <w:p w14:paraId="432DC4DF"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Błędny zapis tytułu normy PN-EN 10025-1. Po „Część 1” powinien być dwukropek. Poprawny zapis to:</w:t>
            </w:r>
          </w:p>
          <w:p w14:paraId="4DE683F1" w14:textId="77777777" w:rsidR="00850254" w:rsidRPr="00A0042B" w:rsidRDefault="00850254" w:rsidP="00850254">
            <w:pPr>
              <w:jc w:val="both"/>
              <w:rPr>
                <w:rFonts w:asciiTheme="minorHAnsi" w:hAnsiTheme="minorHAnsi" w:cstheme="minorHAnsi"/>
                <w:color w:val="000000" w:themeColor="text1"/>
                <w:sz w:val="20"/>
              </w:rPr>
            </w:pPr>
          </w:p>
          <w:p w14:paraId="1F6081BB"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Wyroby walcowane na gorąco ze stali konstrukcyjnych - Część 1: Ogólne warunki techniczne dostawy</w:t>
            </w:r>
          </w:p>
          <w:p w14:paraId="545D99DB" w14:textId="77777777" w:rsidR="00850254" w:rsidRPr="00A0042B" w:rsidRDefault="00850254" w:rsidP="00850254">
            <w:pPr>
              <w:jc w:val="both"/>
              <w:rPr>
                <w:rFonts w:asciiTheme="minorHAnsi" w:hAnsiTheme="minorHAnsi" w:cstheme="minorHAnsi"/>
                <w:color w:val="000000" w:themeColor="text1"/>
                <w:sz w:val="20"/>
              </w:rPr>
            </w:pPr>
          </w:p>
          <w:p w14:paraId="25E445DF"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Błędny zapis tytułu normy PN-EN 10025-2. Po „Część 2” powinien być dwukropek. Poprawny zapis to:</w:t>
            </w:r>
          </w:p>
          <w:p w14:paraId="41593149" w14:textId="77777777" w:rsidR="00850254" w:rsidRPr="00A0042B" w:rsidRDefault="00850254" w:rsidP="00850254">
            <w:pPr>
              <w:jc w:val="both"/>
              <w:rPr>
                <w:rFonts w:asciiTheme="minorHAnsi" w:hAnsiTheme="minorHAnsi" w:cstheme="minorHAnsi"/>
                <w:color w:val="000000" w:themeColor="text1"/>
                <w:sz w:val="20"/>
              </w:rPr>
            </w:pPr>
          </w:p>
          <w:p w14:paraId="15C49CFB"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Wyroby walcowane na gorąco ze stali konstrukcyjnych - Część 2: Warunki techniczne dostawy stali konstrukcyjnych niestopowych</w:t>
            </w:r>
          </w:p>
          <w:p w14:paraId="32C70C65" w14:textId="77777777" w:rsidR="00850254" w:rsidRPr="00A0042B" w:rsidRDefault="00850254" w:rsidP="00850254">
            <w:pPr>
              <w:jc w:val="both"/>
              <w:rPr>
                <w:rFonts w:asciiTheme="minorHAnsi" w:hAnsiTheme="minorHAnsi" w:cstheme="minorHAnsi"/>
                <w:color w:val="000000" w:themeColor="text1"/>
                <w:sz w:val="20"/>
              </w:rPr>
            </w:pPr>
          </w:p>
          <w:p w14:paraId="193355E9"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(Niniejsza norma jest opublikowana w języku oryginału. Polska wersja językowa jest w trakcie przygotowania, publikacja została przewidziana na listopad 2021).</w:t>
            </w:r>
          </w:p>
          <w:p w14:paraId="61738F9A" w14:textId="77777777" w:rsidR="00850254" w:rsidRPr="00A0042B" w:rsidRDefault="00850254" w:rsidP="00850254">
            <w:pPr>
              <w:jc w:val="both"/>
              <w:rPr>
                <w:rFonts w:asciiTheme="minorHAnsi" w:hAnsiTheme="minorHAnsi" w:cstheme="minorHAnsi"/>
                <w:color w:val="000000" w:themeColor="text1"/>
                <w:sz w:val="20"/>
              </w:rPr>
            </w:pPr>
          </w:p>
          <w:p w14:paraId="2958FD7C"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Błędny numer normy. PN-EN 61386-21/A11 to numer zmiany do PN. Prawidłowy numer normy to: PN-EN 61386-21</w:t>
            </w:r>
          </w:p>
          <w:p w14:paraId="56013F29" w14:textId="77777777" w:rsidR="00850254" w:rsidRPr="00A0042B" w:rsidRDefault="00850254" w:rsidP="00850254">
            <w:pPr>
              <w:jc w:val="both"/>
              <w:rPr>
                <w:rFonts w:asciiTheme="minorHAnsi" w:hAnsiTheme="minorHAnsi" w:cstheme="minorHAnsi"/>
                <w:color w:val="000000" w:themeColor="text1"/>
                <w:sz w:val="20"/>
              </w:rPr>
            </w:pPr>
          </w:p>
          <w:p w14:paraId="08E0DBD1"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Błędny numer normy. PN-EN 61386-22/A11 to numer zmiany do PN. Prawidłowy numer normy to: PN-EN 61386-22</w:t>
            </w:r>
          </w:p>
          <w:p w14:paraId="355DA530" w14:textId="77777777" w:rsidR="00850254" w:rsidRPr="00A0042B" w:rsidRDefault="00850254" w:rsidP="00850254">
            <w:pPr>
              <w:jc w:val="both"/>
              <w:rPr>
                <w:rFonts w:asciiTheme="minorHAnsi" w:hAnsiTheme="minorHAnsi" w:cstheme="minorHAnsi"/>
                <w:color w:val="000000" w:themeColor="text1"/>
                <w:sz w:val="20"/>
              </w:rPr>
            </w:pPr>
          </w:p>
          <w:p w14:paraId="6496E81E"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Błędny zapis tytułu normy. Pomiędzy „Wymagania szczegółowe” a „Systemy rur„ powinien być myślnik zamiast kropki. Prawidłowy zapis to:</w:t>
            </w:r>
          </w:p>
          <w:p w14:paraId="0C53C442" w14:textId="77777777" w:rsidR="00850254" w:rsidRPr="00A0042B" w:rsidRDefault="00850254" w:rsidP="00850254">
            <w:pPr>
              <w:jc w:val="both"/>
              <w:rPr>
                <w:rFonts w:asciiTheme="minorHAnsi" w:hAnsiTheme="minorHAnsi" w:cstheme="minorHAnsi"/>
                <w:color w:val="000000" w:themeColor="text1"/>
                <w:sz w:val="20"/>
              </w:rPr>
            </w:pPr>
          </w:p>
          <w:p w14:paraId="049CC709"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Systemy rur instalacyjnych do prowadzenia przewodów - Część 22: Wymagania szczegółowe - Systemy rur instalacyjnych giętkich</w:t>
            </w:r>
          </w:p>
          <w:p w14:paraId="0D8C5A72" w14:textId="77777777" w:rsidR="00850254" w:rsidRPr="00A0042B" w:rsidRDefault="00850254" w:rsidP="00850254">
            <w:pPr>
              <w:jc w:val="both"/>
              <w:rPr>
                <w:rFonts w:asciiTheme="minorHAnsi" w:hAnsiTheme="minorHAnsi" w:cstheme="minorHAnsi"/>
                <w:color w:val="000000" w:themeColor="text1"/>
                <w:sz w:val="20"/>
              </w:rPr>
            </w:pPr>
            <w:r>
              <w:rPr>
                <w:rFonts w:asciiTheme="minorHAnsi" w:hAnsiTheme="minorHAnsi" w:cstheme="minorHAnsi"/>
                <w:color w:val="000000" w:themeColor="text1"/>
                <w:sz w:val="20"/>
              </w:rPr>
              <w:t>Uwagi redakcyjne wg. odrębnego załącznika</w:t>
            </w:r>
          </w:p>
          <w:p w14:paraId="5C768767"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Błędny  tytuł normy PN-EN ISO 6259-1. Prawidłowy tytuł to:</w:t>
            </w:r>
          </w:p>
          <w:p w14:paraId="4A3558E7" w14:textId="77777777" w:rsidR="00850254" w:rsidRPr="00A0042B" w:rsidRDefault="00850254" w:rsidP="00850254">
            <w:pPr>
              <w:jc w:val="both"/>
              <w:rPr>
                <w:rFonts w:asciiTheme="minorHAnsi" w:hAnsiTheme="minorHAnsi" w:cstheme="minorHAnsi"/>
                <w:color w:val="000000" w:themeColor="text1"/>
                <w:sz w:val="20"/>
              </w:rPr>
            </w:pPr>
          </w:p>
          <w:p w14:paraId="7BA071A0"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Rury z tworzyw termoplastycznych - Oznaczanie właściwości mechanicznych przy rozciąganiu - Część 1: Ogólna metoda badań</w:t>
            </w:r>
          </w:p>
          <w:p w14:paraId="553413EA" w14:textId="77777777" w:rsidR="00850254" w:rsidRPr="00A0042B" w:rsidRDefault="00850254" w:rsidP="00850254">
            <w:pPr>
              <w:jc w:val="both"/>
              <w:rPr>
                <w:rFonts w:asciiTheme="minorHAnsi" w:hAnsiTheme="minorHAnsi" w:cstheme="minorHAnsi"/>
                <w:color w:val="000000" w:themeColor="text1"/>
                <w:sz w:val="20"/>
              </w:rPr>
            </w:pPr>
          </w:p>
          <w:p w14:paraId="49ECDD89"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Błędny numer normy. Norma PN-EN 124 jest normą wycofaną. Została zastąpiona przez 6 norm tworzących serię norm. Najbliższa zakresem jest norma PN-EN 124-1 (przywoływana w dalszej części niniejszego dokumentu).</w:t>
            </w:r>
          </w:p>
          <w:p w14:paraId="1EFBAF55" w14:textId="77777777" w:rsidR="00850254" w:rsidRPr="00A0042B" w:rsidRDefault="00850254" w:rsidP="00850254">
            <w:pPr>
              <w:jc w:val="both"/>
              <w:rPr>
                <w:rFonts w:asciiTheme="minorHAnsi" w:hAnsiTheme="minorHAnsi" w:cstheme="minorHAnsi"/>
                <w:color w:val="000000" w:themeColor="text1"/>
                <w:sz w:val="20"/>
              </w:rPr>
            </w:pPr>
          </w:p>
          <w:p w14:paraId="38820C32"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W związku z powyższym, poprawny numer i tytuł normy to:</w:t>
            </w:r>
          </w:p>
          <w:p w14:paraId="701ABC78" w14:textId="77777777" w:rsidR="00850254" w:rsidRPr="00A0042B" w:rsidRDefault="00850254" w:rsidP="00850254">
            <w:pPr>
              <w:jc w:val="both"/>
              <w:rPr>
                <w:rFonts w:asciiTheme="minorHAnsi" w:hAnsiTheme="minorHAnsi" w:cstheme="minorHAnsi"/>
                <w:color w:val="000000" w:themeColor="text1"/>
                <w:sz w:val="20"/>
              </w:rPr>
            </w:pPr>
          </w:p>
          <w:p w14:paraId="4CBD2D6C"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PN-EN 124-1 Zwieńczenia wpustów ściekowych i studzienek włazowych do nawierzchni dla ruchu pieszego i kołowego - Część 1: Definicje, klasyfikacja, ogólne zasady projektowania, właściwości użytkowe i metody badań</w:t>
            </w:r>
          </w:p>
          <w:p w14:paraId="10845C62" w14:textId="77777777" w:rsidR="00850254" w:rsidRPr="00A0042B" w:rsidRDefault="00850254" w:rsidP="00850254">
            <w:pPr>
              <w:jc w:val="both"/>
              <w:rPr>
                <w:rFonts w:asciiTheme="minorHAnsi" w:hAnsiTheme="minorHAnsi" w:cstheme="minorHAnsi"/>
                <w:color w:val="000000" w:themeColor="text1"/>
                <w:sz w:val="20"/>
              </w:rPr>
            </w:pPr>
          </w:p>
          <w:p w14:paraId="40D8CE67"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Błędny numer normy. Norma PN-EN 744 jest normą wycofaną. Została zastąpiona przez normę PN-EN ISO 3127 (która została opublikowana  w języku oryginału).</w:t>
            </w:r>
          </w:p>
          <w:p w14:paraId="5873251A" w14:textId="77777777" w:rsidR="00850254" w:rsidRPr="00A0042B" w:rsidRDefault="00850254" w:rsidP="00850254">
            <w:pPr>
              <w:jc w:val="both"/>
              <w:rPr>
                <w:rFonts w:asciiTheme="minorHAnsi" w:hAnsiTheme="minorHAnsi" w:cstheme="minorHAnsi"/>
                <w:color w:val="000000" w:themeColor="text1"/>
                <w:sz w:val="20"/>
              </w:rPr>
            </w:pPr>
          </w:p>
          <w:p w14:paraId="54632E8F"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W związku z powyższym, poprawny numer i tytuł normy to:</w:t>
            </w:r>
          </w:p>
          <w:p w14:paraId="7BFE152A" w14:textId="77777777" w:rsidR="00850254" w:rsidRPr="00A0042B" w:rsidRDefault="00850254" w:rsidP="00850254">
            <w:pPr>
              <w:jc w:val="both"/>
              <w:rPr>
                <w:rFonts w:asciiTheme="minorHAnsi" w:hAnsiTheme="minorHAnsi" w:cstheme="minorHAnsi"/>
                <w:color w:val="000000" w:themeColor="text1"/>
                <w:sz w:val="20"/>
              </w:rPr>
            </w:pPr>
          </w:p>
          <w:p w14:paraId="5D7ED7B4"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lastRenderedPageBreak/>
              <w:t>PN-EN ISO 3127 Rury z tworzyw termoplastycznych - Badanie odporności na uderzenia zewnętrzne - Metoda spadającego ciężarka</w:t>
            </w:r>
          </w:p>
          <w:p w14:paraId="66260083" w14:textId="77777777" w:rsidR="00850254" w:rsidRPr="00A0042B" w:rsidRDefault="00850254" w:rsidP="00850254">
            <w:pPr>
              <w:jc w:val="both"/>
              <w:rPr>
                <w:rFonts w:asciiTheme="minorHAnsi" w:hAnsiTheme="minorHAnsi" w:cstheme="minorHAnsi"/>
                <w:color w:val="000000" w:themeColor="text1"/>
                <w:sz w:val="20"/>
              </w:rPr>
            </w:pPr>
          </w:p>
          <w:p w14:paraId="5AEE7F8C" w14:textId="77777777" w:rsidR="00850254" w:rsidRPr="00A0042B" w:rsidRDefault="00850254" w:rsidP="00850254">
            <w:pPr>
              <w:jc w:val="both"/>
              <w:rPr>
                <w:rFonts w:asciiTheme="minorHAnsi" w:hAnsiTheme="minorHAnsi" w:cstheme="minorHAnsi"/>
                <w:color w:val="000000" w:themeColor="text1"/>
                <w:sz w:val="20"/>
              </w:rPr>
            </w:pPr>
            <w:r w:rsidRPr="00A0042B">
              <w:rPr>
                <w:rFonts w:asciiTheme="minorHAnsi" w:hAnsiTheme="minorHAnsi" w:cstheme="minorHAnsi"/>
                <w:color w:val="000000" w:themeColor="text1"/>
                <w:sz w:val="20"/>
              </w:rPr>
              <w:t>Błędny zapis tytułu normy PN-EN 61386-21. Po „Część 2” powinien być myślnik zamiast kropki. Po „Wymagania szczegółowe” powinien być myślnik. Poprawny zapis to:</w:t>
            </w:r>
          </w:p>
          <w:p w14:paraId="0075ABCD" w14:textId="3A666C3A" w:rsidR="00850254" w:rsidRPr="002D6653" w:rsidRDefault="00850254" w:rsidP="00850254">
            <w:pPr>
              <w:jc w:val="both"/>
              <w:rPr>
                <w:rFonts w:asciiTheme="minorHAnsi" w:hAnsiTheme="minorHAnsi" w:cstheme="minorHAnsi"/>
                <w:bCs/>
                <w:sz w:val="20"/>
                <w:szCs w:val="20"/>
              </w:rPr>
            </w:pPr>
            <w:r w:rsidRPr="00A0042B">
              <w:rPr>
                <w:rFonts w:asciiTheme="minorHAnsi" w:hAnsiTheme="minorHAnsi" w:cstheme="minorHAnsi"/>
                <w:color w:val="000000" w:themeColor="text1"/>
                <w:sz w:val="20"/>
              </w:rPr>
              <w:t>Systemy rur instalacyjnych do prowadzenia przewodów - Część 21: Wymagania szczegółowe - Systemy rur instalacyjnych sztywnych</w:t>
            </w:r>
          </w:p>
        </w:tc>
        <w:tc>
          <w:tcPr>
            <w:tcW w:w="4993" w:type="dxa"/>
          </w:tcPr>
          <w:p w14:paraId="3D4C9417" w14:textId="0652CFE8" w:rsidR="00850254" w:rsidRPr="00B71279" w:rsidRDefault="00850254" w:rsidP="00850254">
            <w:pPr>
              <w:spacing w:line="259" w:lineRule="auto"/>
              <w:jc w:val="both"/>
              <w:rPr>
                <w:rFonts w:asciiTheme="minorHAnsi" w:hAnsiTheme="minorHAnsi" w:cstheme="minorBidi"/>
                <w:b/>
                <w:sz w:val="20"/>
                <w:szCs w:val="20"/>
              </w:rPr>
            </w:pPr>
            <w:r w:rsidRPr="00B71279">
              <w:rPr>
                <w:rFonts w:asciiTheme="minorHAnsi" w:hAnsiTheme="minorHAnsi" w:cstheme="minorHAnsi"/>
                <w:b/>
                <w:color w:val="000000" w:themeColor="text1"/>
                <w:sz w:val="20"/>
              </w:rPr>
              <w:lastRenderedPageBreak/>
              <w:t>Uwagi uwzględnione</w:t>
            </w:r>
          </w:p>
        </w:tc>
      </w:tr>
      <w:tr w:rsidR="00850254" w:rsidRPr="002D6653" w14:paraId="1E4F488D" w14:textId="77777777" w:rsidTr="0D9F930C">
        <w:trPr>
          <w:trHeight w:val="465"/>
        </w:trPr>
        <w:tc>
          <w:tcPr>
            <w:tcW w:w="892" w:type="dxa"/>
            <w:shd w:val="clear" w:color="auto" w:fill="auto"/>
          </w:tcPr>
          <w:p w14:paraId="727B45EB" w14:textId="0DD9F475" w:rsidR="00850254" w:rsidRDefault="00850254" w:rsidP="00850254">
            <w:pPr>
              <w:spacing w:before="120" w:after="120"/>
              <w:jc w:val="both"/>
              <w:rPr>
                <w:rFonts w:asciiTheme="minorHAnsi" w:hAnsiTheme="minorHAnsi" w:cstheme="minorHAnsi"/>
                <w:b/>
                <w:sz w:val="20"/>
                <w:szCs w:val="20"/>
              </w:rPr>
            </w:pPr>
            <w:r>
              <w:rPr>
                <w:rFonts w:asciiTheme="minorHAnsi" w:hAnsiTheme="minorHAnsi" w:cstheme="minorHAnsi"/>
                <w:b/>
                <w:sz w:val="20"/>
                <w:szCs w:val="20"/>
              </w:rPr>
              <w:lastRenderedPageBreak/>
              <w:t>1</w:t>
            </w:r>
            <w:r w:rsidR="0030048D">
              <w:rPr>
                <w:rFonts w:asciiTheme="minorHAnsi" w:hAnsiTheme="minorHAnsi" w:cstheme="minorHAnsi"/>
                <w:b/>
                <w:sz w:val="20"/>
                <w:szCs w:val="20"/>
              </w:rPr>
              <w:t>1</w:t>
            </w:r>
          </w:p>
        </w:tc>
        <w:tc>
          <w:tcPr>
            <w:tcW w:w="1791" w:type="dxa"/>
            <w:shd w:val="clear" w:color="auto" w:fill="auto"/>
          </w:tcPr>
          <w:p w14:paraId="7E364174" w14:textId="77D3DECF" w:rsidR="00850254" w:rsidRPr="002D6653" w:rsidRDefault="00850254" w:rsidP="00850254">
            <w:pPr>
              <w:spacing w:before="60" w:after="60"/>
              <w:jc w:val="both"/>
              <w:rPr>
                <w:rFonts w:asciiTheme="minorHAnsi" w:hAnsiTheme="minorHAnsi" w:cstheme="minorHAnsi"/>
                <w:sz w:val="20"/>
                <w:szCs w:val="20"/>
              </w:rPr>
            </w:pPr>
            <w:r w:rsidRPr="00A0042B">
              <w:rPr>
                <w:rFonts w:asciiTheme="minorHAnsi" w:hAnsiTheme="minorHAnsi" w:cstheme="minorHAnsi"/>
                <w:color w:val="000000" w:themeColor="text1"/>
                <w:sz w:val="20"/>
              </w:rPr>
              <w:t>UKE</w:t>
            </w:r>
          </w:p>
        </w:tc>
        <w:tc>
          <w:tcPr>
            <w:tcW w:w="1990" w:type="dxa"/>
            <w:shd w:val="clear" w:color="auto" w:fill="auto"/>
          </w:tcPr>
          <w:p w14:paraId="44231E79" w14:textId="75C29AC0" w:rsidR="00850254" w:rsidRDefault="00850254" w:rsidP="00850254">
            <w:pPr>
              <w:rPr>
                <w:rFonts w:asciiTheme="minorHAnsi" w:hAnsiTheme="minorHAnsi" w:cstheme="minorHAnsi"/>
                <w:color w:val="000000" w:themeColor="text1"/>
                <w:sz w:val="20"/>
              </w:rPr>
            </w:pPr>
            <w:r>
              <w:rPr>
                <w:rFonts w:asciiTheme="minorHAnsi" w:hAnsiTheme="minorHAnsi" w:cstheme="minorHAnsi"/>
                <w:color w:val="000000" w:themeColor="text1"/>
                <w:sz w:val="20"/>
              </w:rPr>
              <w:t>Uzasadnienie</w:t>
            </w:r>
          </w:p>
          <w:p w14:paraId="0279ED5D" w14:textId="45B7A5D2" w:rsidR="00850254" w:rsidRPr="002D6653" w:rsidRDefault="00850254" w:rsidP="00850254">
            <w:pPr>
              <w:rPr>
                <w:rFonts w:asciiTheme="minorHAnsi" w:hAnsiTheme="minorHAnsi" w:cstheme="minorHAnsi"/>
                <w:bCs/>
                <w:sz w:val="20"/>
                <w:szCs w:val="20"/>
              </w:rPr>
            </w:pPr>
            <w:r w:rsidRPr="00A0042B">
              <w:rPr>
                <w:rFonts w:asciiTheme="minorHAnsi" w:hAnsiTheme="minorHAnsi" w:cstheme="minorHAnsi"/>
                <w:color w:val="000000" w:themeColor="text1"/>
                <w:sz w:val="20"/>
              </w:rPr>
              <w:t xml:space="preserve">str. 35-36 </w:t>
            </w:r>
          </w:p>
        </w:tc>
        <w:tc>
          <w:tcPr>
            <w:tcW w:w="5910" w:type="dxa"/>
            <w:shd w:val="clear" w:color="auto" w:fill="auto"/>
          </w:tcPr>
          <w:p w14:paraId="1A93C3C2" w14:textId="364A5EB3" w:rsidR="00850254" w:rsidRPr="002D6653" w:rsidRDefault="00850254" w:rsidP="00850254">
            <w:pPr>
              <w:jc w:val="both"/>
              <w:rPr>
                <w:rFonts w:asciiTheme="minorHAnsi" w:hAnsiTheme="minorHAnsi" w:cstheme="minorHAnsi"/>
                <w:bCs/>
                <w:sz w:val="20"/>
                <w:szCs w:val="20"/>
              </w:rPr>
            </w:pPr>
            <w:r w:rsidRPr="00A0042B">
              <w:rPr>
                <w:rFonts w:asciiTheme="minorHAnsi" w:hAnsiTheme="minorHAnsi" w:cstheme="minorHAnsi"/>
                <w:color w:val="000000" w:themeColor="text1"/>
                <w:sz w:val="20"/>
              </w:rPr>
              <w:t>proponuje się uzupełnić zawarty na str. 35-36 uzasadnienia do projektowanego rozporządzenia katalog aktów normatywnych, z</w:t>
            </w:r>
            <w:r w:rsidR="0044786E">
              <w:rPr>
                <w:rFonts w:asciiTheme="minorHAnsi" w:hAnsiTheme="minorHAnsi" w:cstheme="minorHAnsi"/>
                <w:color w:val="000000" w:themeColor="text1"/>
                <w:sz w:val="20"/>
              </w:rPr>
              <w:t> </w:t>
            </w:r>
            <w:r w:rsidRPr="00A0042B">
              <w:rPr>
                <w:rFonts w:asciiTheme="minorHAnsi" w:hAnsiTheme="minorHAnsi" w:cstheme="minorHAnsi"/>
                <w:color w:val="000000" w:themeColor="text1"/>
                <w:sz w:val="20"/>
              </w:rPr>
              <w:t>którymi zostały skorelowane zasady projektowania, budowy i</w:t>
            </w:r>
            <w:r w:rsidR="0044786E">
              <w:rPr>
                <w:rFonts w:asciiTheme="minorHAnsi" w:hAnsiTheme="minorHAnsi" w:cstheme="minorHAnsi"/>
                <w:color w:val="000000" w:themeColor="text1"/>
                <w:sz w:val="20"/>
              </w:rPr>
              <w:t> </w:t>
            </w:r>
            <w:r w:rsidRPr="00A0042B">
              <w:rPr>
                <w:rFonts w:asciiTheme="minorHAnsi" w:hAnsiTheme="minorHAnsi" w:cstheme="minorHAnsi"/>
                <w:color w:val="000000" w:themeColor="text1"/>
                <w:sz w:val="20"/>
              </w:rPr>
              <w:t>przebudowy telekomunikacyjnych obiektów budowlanych, o</w:t>
            </w:r>
            <w:r w:rsidR="0044786E">
              <w:rPr>
                <w:rFonts w:asciiTheme="minorHAnsi" w:hAnsiTheme="minorHAnsi" w:cstheme="minorHAnsi"/>
                <w:color w:val="000000" w:themeColor="text1"/>
                <w:sz w:val="20"/>
              </w:rPr>
              <w:t> </w:t>
            </w:r>
            <w:r w:rsidRPr="00A0042B">
              <w:rPr>
                <w:rFonts w:asciiTheme="minorHAnsi" w:hAnsiTheme="minorHAnsi" w:cstheme="minorHAnsi"/>
                <w:color w:val="000000" w:themeColor="text1"/>
                <w:sz w:val="20"/>
              </w:rPr>
              <w:t>rozporządzenie Ministra Infrastruktury z dnia 12 kwietnia 2002 r. w</w:t>
            </w:r>
            <w:r w:rsidR="0044786E">
              <w:rPr>
                <w:rFonts w:asciiTheme="minorHAnsi" w:hAnsiTheme="minorHAnsi" w:cstheme="minorHAnsi"/>
                <w:color w:val="000000" w:themeColor="text1"/>
                <w:sz w:val="20"/>
              </w:rPr>
              <w:t> </w:t>
            </w:r>
            <w:r w:rsidRPr="00A0042B">
              <w:rPr>
                <w:rFonts w:asciiTheme="minorHAnsi" w:hAnsiTheme="minorHAnsi" w:cstheme="minorHAnsi"/>
                <w:color w:val="000000" w:themeColor="text1"/>
                <w:sz w:val="20"/>
              </w:rPr>
              <w:t>sprawie warunków technicznych, jakim powinny odpowiadać budynki i ich usytuowanie.</w:t>
            </w:r>
          </w:p>
        </w:tc>
        <w:tc>
          <w:tcPr>
            <w:tcW w:w="4993" w:type="dxa"/>
          </w:tcPr>
          <w:p w14:paraId="6D8BDEB7" w14:textId="77777777" w:rsidR="00850254" w:rsidRPr="00A0042B" w:rsidRDefault="00850254" w:rsidP="00850254">
            <w:pPr>
              <w:jc w:val="both"/>
              <w:rPr>
                <w:rFonts w:asciiTheme="minorHAnsi" w:hAnsiTheme="minorHAnsi" w:cstheme="minorHAnsi"/>
                <w:b/>
                <w:bCs/>
                <w:color w:val="000000" w:themeColor="text1"/>
                <w:sz w:val="20"/>
              </w:rPr>
            </w:pPr>
            <w:r w:rsidRPr="00A0042B">
              <w:rPr>
                <w:rFonts w:asciiTheme="minorHAnsi" w:hAnsiTheme="minorHAnsi" w:cstheme="minorHAnsi"/>
                <w:b/>
                <w:bCs/>
                <w:color w:val="000000" w:themeColor="text1"/>
                <w:sz w:val="20"/>
              </w:rPr>
              <w:t>Uwaga uwzględniona</w:t>
            </w:r>
          </w:p>
          <w:p w14:paraId="31C99B15" w14:textId="29EBF7DC" w:rsidR="00850254" w:rsidRPr="004D4B74" w:rsidRDefault="00850254" w:rsidP="00850254">
            <w:pPr>
              <w:spacing w:line="259" w:lineRule="auto"/>
              <w:jc w:val="both"/>
              <w:rPr>
                <w:rFonts w:asciiTheme="minorHAnsi" w:hAnsiTheme="minorHAnsi" w:cstheme="minorBidi"/>
                <w:sz w:val="20"/>
                <w:szCs w:val="20"/>
              </w:rPr>
            </w:pPr>
            <w:r w:rsidRPr="00A0042B">
              <w:rPr>
                <w:rFonts w:asciiTheme="minorHAnsi" w:hAnsiTheme="minorHAnsi" w:cstheme="minorHAnsi"/>
                <w:color w:val="000000" w:themeColor="text1"/>
                <w:sz w:val="20"/>
              </w:rPr>
              <w:tab/>
            </w:r>
          </w:p>
        </w:tc>
      </w:tr>
    </w:tbl>
    <w:p w14:paraId="5B3B7D2C" w14:textId="1254E82B" w:rsidR="00C64B1B" w:rsidRPr="002D6653" w:rsidRDefault="00C64B1B" w:rsidP="00F03561">
      <w:pPr>
        <w:jc w:val="both"/>
        <w:rPr>
          <w:rFonts w:asciiTheme="minorHAnsi" w:hAnsiTheme="minorHAnsi" w:cstheme="minorHAnsi"/>
          <w:sz w:val="20"/>
          <w:szCs w:val="20"/>
        </w:rPr>
      </w:pPr>
    </w:p>
    <w:sectPr w:rsidR="00C64B1B" w:rsidRPr="002D6653" w:rsidSect="00A0642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257C5" w14:textId="77777777" w:rsidR="00A404E7" w:rsidRDefault="00A404E7" w:rsidP="00681789">
      <w:r>
        <w:separator/>
      </w:r>
    </w:p>
  </w:endnote>
  <w:endnote w:type="continuationSeparator" w:id="0">
    <w:p w14:paraId="696E059C" w14:textId="77777777" w:rsidR="00A404E7" w:rsidRDefault="00A404E7" w:rsidP="00681789">
      <w:r>
        <w:continuationSeparator/>
      </w:r>
    </w:p>
  </w:endnote>
  <w:endnote w:type="continuationNotice" w:id="1">
    <w:p w14:paraId="1476EC93" w14:textId="77777777" w:rsidR="00A404E7" w:rsidRDefault="00A404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F7E81" w14:textId="77777777" w:rsidR="00A404E7" w:rsidRDefault="00A404E7" w:rsidP="00681789">
      <w:r>
        <w:separator/>
      </w:r>
    </w:p>
  </w:footnote>
  <w:footnote w:type="continuationSeparator" w:id="0">
    <w:p w14:paraId="11FEF7EB" w14:textId="77777777" w:rsidR="00A404E7" w:rsidRDefault="00A404E7" w:rsidP="00681789">
      <w:r>
        <w:continuationSeparator/>
      </w:r>
    </w:p>
  </w:footnote>
  <w:footnote w:type="continuationNotice" w:id="1">
    <w:p w14:paraId="3D7AB769" w14:textId="77777777" w:rsidR="00A404E7" w:rsidRDefault="00A404E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40148"/>
    <w:multiLevelType w:val="hybridMultilevel"/>
    <w:tmpl w:val="B5A6524A"/>
    <w:lvl w:ilvl="0" w:tplc="6AACA122">
      <w:start w:val="1"/>
      <w:numFmt w:val="decimal"/>
      <w:lvlText w:val="%1."/>
      <w:lvlJc w:val="left"/>
      <w:pPr>
        <w:ind w:left="720" w:hanging="360"/>
      </w:pPr>
    </w:lvl>
    <w:lvl w:ilvl="1" w:tplc="1FC06E0C">
      <w:start w:val="1"/>
      <w:numFmt w:val="lowerLetter"/>
      <w:lvlText w:val="%2."/>
      <w:lvlJc w:val="left"/>
      <w:pPr>
        <w:ind w:left="1440" w:hanging="360"/>
      </w:pPr>
    </w:lvl>
    <w:lvl w:ilvl="2" w:tplc="4052D3BA">
      <w:start w:val="1"/>
      <w:numFmt w:val="lowerRoman"/>
      <w:lvlText w:val="%3."/>
      <w:lvlJc w:val="right"/>
      <w:pPr>
        <w:ind w:left="2160" w:hanging="180"/>
      </w:pPr>
    </w:lvl>
    <w:lvl w:ilvl="3" w:tplc="100A93F2">
      <w:start w:val="1"/>
      <w:numFmt w:val="decimal"/>
      <w:lvlText w:val="%4."/>
      <w:lvlJc w:val="left"/>
      <w:pPr>
        <w:ind w:left="2880" w:hanging="360"/>
      </w:pPr>
    </w:lvl>
    <w:lvl w:ilvl="4" w:tplc="599E76F8">
      <w:start w:val="1"/>
      <w:numFmt w:val="lowerLetter"/>
      <w:lvlText w:val="%5."/>
      <w:lvlJc w:val="left"/>
      <w:pPr>
        <w:ind w:left="3600" w:hanging="360"/>
      </w:pPr>
    </w:lvl>
    <w:lvl w:ilvl="5" w:tplc="95DEDB94">
      <w:start w:val="1"/>
      <w:numFmt w:val="lowerRoman"/>
      <w:lvlText w:val="%6."/>
      <w:lvlJc w:val="right"/>
      <w:pPr>
        <w:ind w:left="4320" w:hanging="180"/>
      </w:pPr>
    </w:lvl>
    <w:lvl w:ilvl="6" w:tplc="3A680D96">
      <w:start w:val="1"/>
      <w:numFmt w:val="decimal"/>
      <w:lvlText w:val="%7."/>
      <w:lvlJc w:val="left"/>
      <w:pPr>
        <w:ind w:left="5040" w:hanging="360"/>
      </w:pPr>
    </w:lvl>
    <w:lvl w:ilvl="7" w:tplc="7AF20902">
      <w:start w:val="1"/>
      <w:numFmt w:val="lowerLetter"/>
      <w:lvlText w:val="%8."/>
      <w:lvlJc w:val="left"/>
      <w:pPr>
        <w:ind w:left="5760" w:hanging="360"/>
      </w:pPr>
    </w:lvl>
    <w:lvl w:ilvl="8" w:tplc="0F30FA26">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17B7B"/>
    <w:rsid w:val="0002509B"/>
    <w:rsid w:val="00026127"/>
    <w:rsid w:val="00034258"/>
    <w:rsid w:val="00065C8B"/>
    <w:rsid w:val="000847D9"/>
    <w:rsid w:val="00094C94"/>
    <w:rsid w:val="000C425E"/>
    <w:rsid w:val="000D5250"/>
    <w:rsid w:val="000D57C9"/>
    <w:rsid w:val="000D68FA"/>
    <w:rsid w:val="0010738A"/>
    <w:rsid w:val="00111A0B"/>
    <w:rsid w:val="001259FD"/>
    <w:rsid w:val="00137C52"/>
    <w:rsid w:val="00140BE8"/>
    <w:rsid w:val="00175D1C"/>
    <w:rsid w:val="00176151"/>
    <w:rsid w:val="0019648E"/>
    <w:rsid w:val="00197DD1"/>
    <w:rsid w:val="00197F8B"/>
    <w:rsid w:val="001A3428"/>
    <w:rsid w:val="001B43FE"/>
    <w:rsid w:val="00270B5F"/>
    <w:rsid w:val="002715B2"/>
    <w:rsid w:val="002A2D4F"/>
    <w:rsid w:val="002C5118"/>
    <w:rsid w:val="002D3FB8"/>
    <w:rsid w:val="002D6653"/>
    <w:rsid w:val="0030048D"/>
    <w:rsid w:val="003124D1"/>
    <w:rsid w:val="0032655A"/>
    <w:rsid w:val="00346124"/>
    <w:rsid w:val="003A7F7A"/>
    <w:rsid w:val="003B4105"/>
    <w:rsid w:val="003D03C6"/>
    <w:rsid w:val="00402FFF"/>
    <w:rsid w:val="00405408"/>
    <w:rsid w:val="004259FC"/>
    <w:rsid w:val="0044786E"/>
    <w:rsid w:val="00456EE1"/>
    <w:rsid w:val="004B4903"/>
    <w:rsid w:val="004D086F"/>
    <w:rsid w:val="004D4B74"/>
    <w:rsid w:val="004F641D"/>
    <w:rsid w:val="004F7176"/>
    <w:rsid w:val="00517A4F"/>
    <w:rsid w:val="0053787E"/>
    <w:rsid w:val="00540021"/>
    <w:rsid w:val="00545E40"/>
    <w:rsid w:val="0055137E"/>
    <w:rsid w:val="00565D1D"/>
    <w:rsid w:val="005814B9"/>
    <w:rsid w:val="005A68D5"/>
    <w:rsid w:val="005B03EE"/>
    <w:rsid w:val="005F6527"/>
    <w:rsid w:val="0060503C"/>
    <w:rsid w:val="00625181"/>
    <w:rsid w:val="00661FD6"/>
    <w:rsid w:val="006705EC"/>
    <w:rsid w:val="006725E1"/>
    <w:rsid w:val="00681789"/>
    <w:rsid w:val="006C28AB"/>
    <w:rsid w:val="006E16E9"/>
    <w:rsid w:val="0070332E"/>
    <w:rsid w:val="00721963"/>
    <w:rsid w:val="007441AB"/>
    <w:rsid w:val="00746852"/>
    <w:rsid w:val="007553F5"/>
    <w:rsid w:val="00757671"/>
    <w:rsid w:val="00770919"/>
    <w:rsid w:val="0077256D"/>
    <w:rsid w:val="00773AFF"/>
    <w:rsid w:val="00795999"/>
    <w:rsid w:val="007B7C8B"/>
    <w:rsid w:val="00807385"/>
    <w:rsid w:val="008264D3"/>
    <w:rsid w:val="00850254"/>
    <w:rsid w:val="009000B3"/>
    <w:rsid w:val="00944932"/>
    <w:rsid w:val="0095570E"/>
    <w:rsid w:val="009850AC"/>
    <w:rsid w:val="00985A7A"/>
    <w:rsid w:val="009E5FDB"/>
    <w:rsid w:val="00A06425"/>
    <w:rsid w:val="00A404E7"/>
    <w:rsid w:val="00A478AC"/>
    <w:rsid w:val="00A47DE7"/>
    <w:rsid w:val="00A65741"/>
    <w:rsid w:val="00A80304"/>
    <w:rsid w:val="00AB1E39"/>
    <w:rsid w:val="00AB5C8F"/>
    <w:rsid w:val="00AC7796"/>
    <w:rsid w:val="00AE5DBE"/>
    <w:rsid w:val="00AE66A3"/>
    <w:rsid w:val="00B15910"/>
    <w:rsid w:val="00B516E8"/>
    <w:rsid w:val="00B60D3E"/>
    <w:rsid w:val="00B71279"/>
    <w:rsid w:val="00B871B6"/>
    <w:rsid w:val="00BD3FC7"/>
    <w:rsid w:val="00C023D8"/>
    <w:rsid w:val="00C205DF"/>
    <w:rsid w:val="00C4641F"/>
    <w:rsid w:val="00C64B1B"/>
    <w:rsid w:val="00C76B1B"/>
    <w:rsid w:val="00C77C1E"/>
    <w:rsid w:val="00C93560"/>
    <w:rsid w:val="00CD37E1"/>
    <w:rsid w:val="00CD5EB0"/>
    <w:rsid w:val="00CD62F4"/>
    <w:rsid w:val="00CE3007"/>
    <w:rsid w:val="00CF6F0B"/>
    <w:rsid w:val="00D43B44"/>
    <w:rsid w:val="00D460F0"/>
    <w:rsid w:val="00D7294D"/>
    <w:rsid w:val="00D935E5"/>
    <w:rsid w:val="00DC13BC"/>
    <w:rsid w:val="00DD5739"/>
    <w:rsid w:val="00DD79A6"/>
    <w:rsid w:val="00DF38A9"/>
    <w:rsid w:val="00E14C33"/>
    <w:rsid w:val="00E20007"/>
    <w:rsid w:val="00E24D6C"/>
    <w:rsid w:val="00E45636"/>
    <w:rsid w:val="00E7162E"/>
    <w:rsid w:val="00E852D2"/>
    <w:rsid w:val="00E86842"/>
    <w:rsid w:val="00EA0F9B"/>
    <w:rsid w:val="00EA4176"/>
    <w:rsid w:val="00ED0C96"/>
    <w:rsid w:val="00ED5C3F"/>
    <w:rsid w:val="00EF0407"/>
    <w:rsid w:val="00F03561"/>
    <w:rsid w:val="00F26480"/>
    <w:rsid w:val="00F357EC"/>
    <w:rsid w:val="00F56C51"/>
    <w:rsid w:val="00FC5509"/>
    <w:rsid w:val="00FC6066"/>
    <w:rsid w:val="00FD74FD"/>
    <w:rsid w:val="00FE1508"/>
    <w:rsid w:val="0228CA3E"/>
    <w:rsid w:val="0239C2E3"/>
    <w:rsid w:val="053A901C"/>
    <w:rsid w:val="070F814B"/>
    <w:rsid w:val="094B0342"/>
    <w:rsid w:val="09E6E0A9"/>
    <w:rsid w:val="0A1AB3C6"/>
    <w:rsid w:val="0A27299C"/>
    <w:rsid w:val="0A3BAFF0"/>
    <w:rsid w:val="0D78631C"/>
    <w:rsid w:val="0D9F930C"/>
    <w:rsid w:val="0E2C8F3B"/>
    <w:rsid w:val="0FAE14BF"/>
    <w:rsid w:val="103A5F82"/>
    <w:rsid w:val="10A24654"/>
    <w:rsid w:val="10EBDAE1"/>
    <w:rsid w:val="11CDF612"/>
    <w:rsid w:val="12734198"/>
    <w:rsid w:val="132734B5"/>
    <w:rsid w:val="13CA98A2"/>
    <w:rsid w:val="13D78CA3"/>
    <w:rsid w:val="1458F49F"/>
    <w:rsid w:val="14978A74"/>
    <w:rsid w:val="14DF24BB"/>
    <w:rsid w:val="15148C38"/>
    <w:rsid w:val="154BEF6B"/>
    <w:rsid w:val="16DEF767"/>
    <w:rsid w:val="18AAFDC6"/>
    <w:rsid w:val="1936EB68"/>
    <w:rsid w:val="1939E2D7"/>
    <w:rsid w:val="1A38C516"/>
    <w:rsid w:val="1A944137"/>
    <w:rsid w:val="1AB1650B"/>
    <w:rsid w:val="1ABF1B8C"/>
    <w:rsid w:val="1DE05678"/>
    <w:rsid w:val="1DE355C9"/>
    <w:rsid w:val="1E7F2DB6"/>
    <w:rsid w:val="1EFFDB77"/>
    <w:rsid w:val="20A8069A"/>
    <w:rsid w:val="22C5DC1F"/>
    <w:rsid w:val="24932B7A"/>
    <w:rsid w:val="2536C445"/>
    <w:rsid w:val="25872EE0"/>
    <w:rsid w:val="258C1B1C"/>
    <w:rsid w:val="25D38ACD"/>
    <w:rsid w:val="26B5C318"/>
    <w:rsid w:val="27496117"/>
    <w:rsid w:val="287AFBB1"/>
    <w:rsid w:val="2886242D"/>
    <w:rsid w:val="2ADFB886"/>
    <w:rsid w:val="2B1F4944"/>
    <w:rsid w:val="2B634D70"/>
    <w:rsid w:val="2B71D3C5"/>
    <w:rsid w:val="2CB0B3CA"/>
    <w:rsid w:val="2D065062"/>
    <w:rsid w:val="2E8E9169"/>
    <w:rsid w:val="2EB6270E"/>
    <w:rsid w:val="318C1273"/>
    <w:rsid w:val="3277E7E0"/>
    <w:rsid w:val="3300C23E"/>
    <w:rsid w:val="338082F2"/>
    <w:rsid w:val="33A4DF17"/>
    <w:rsid w:val="36386300"/>
    <w:rsid w:val="39BCFF3C"/>
    <w:rsid w:val="3BADF3D8"/>
    <w:rsid w:val="3CA0EEA4"/>
    <w:rsid w:val="3D6EE910"/>
    <w:rsid w:val="3EAE5D7A"/>
    <w:rsid w:val="409D3873"/>
    <w:rsid w:val="40B7F40B"/>
    <w:rsid w:val="414F7CAC"/>
    <w:rsid w:val="417B8BD5"/>
    <w:rsid w:val="41AEE8C4"/>
    <w:rsid w:val="4295F930"/>
    <w:rsid w:val="437B32A3"/>
    <w:rsid w:val="437D7E10"/>
    <w:rsid w:val="43B33DBE"/>
    <w:rsid w:val="43FA7FD4"/>
    <w:rsid w:val="443E7C18"/>
    <w:rsid w:val="447078DC"/>
    <w:rsid w:val="472A4492"/>
    <w:rsid w:val="475070B6"/>
    <w:rsid w:val="49534FDE"/>
    <w:rsid w:val="4C34F6FC"/>
    <w:rsid w:val="4E3C7FBD"/>
    <w:rsid w:val="4EB8CF88"/>
    <w:rsid w:val="4EDA7591"/>
    <w:rsid w:val="4FA17856"/>
    <w:rsid w:val="5041CD12"/>
    <w:rsid w:val="52A88898"/>
    <w:rsid w:val="535DAB29"/>
    <w:rsid w:val="54549FE2"/>
    <w:rsid w:val="552D1E26"/>
    <w:rsid w:val="56619B00"/>
    <w:rsid w:val="580F28F8"/>
    <w:rsid w:val="5B7DA66E"/>
    <w:rsid w:val="5C7A9F91"/>
    <w:rsid w:val="5C8A5169"/>
    <w:rsid w:val="60CBA358"/>
    <w:rsid w:val="61DA98E0"/>
    <w:rsid w:val="62010AF9"/>
    <w:rsid w:val="62182C18"/>
    <w:rsid w:val="62B5CAEE"/>
    <w:rsid w:val="62BDB874"/>
    <w:rsid w:val="630BDFED"/>
    <w:rsid w:val="631C3F9D"/>
    <w:rsid w:val="63CC8052"/>
    <w:rsid w:val="64C499E9"/>
    <w:rsid w:val="66943329"/>
    <w:rsid w:val="67A1CCF6"/>
    <w:rsid w:val="687F7B85"/>
    <w:rsid w:val="68F0F8E9"/>
    <w:rsid w:val="6991B0E7"/>
    <w:rsid w:val="6A095AF6"/>
    <w:rsid w:val="6A18CF65"/>
    <w:rsid w:val="6A7BCEDF"/>
    <w:rsid w:val="6C1AD1E8"/>
    <w:rsid w:val="6D0CCD91"/>
    <w:rsid w:val="6EC665A4"/>
    <w:rsid w:val="6ED35D2B"/>
    <w:rsid w:val="6F578F4D"/>
    <w:rsid w:val="7084DF23"/>
    <w:rsid w:val="71C0F01B"/>
    <w:rsid w:val="71F8AA30"/>
    <w:rsid w:val="722DAB5E"/>
    <w:rsid w:val="7317A43D"/>
    <w:rsid w:val="73ED0A98"/>
    <w:rsid w:val="75AD37DD"/>
    <w:rsid w:val="75D9689B"/>
    <w:rsid w:val="77FBEC5B"/>
    <w:rsid w:val="7929F565"/>
    <w:rsid w:val="7A11FD9B"/>
    <w:rsid w:val="7B6AA16E"/>
    <w:rsid w:val="7BB5A519"/>
    <w:rsid w:val="7C762E3C"/>
    <w:rsid w:val="7D8C6E92"/>
    <w:rsid w:val="7E6FB70D"/>
    <w:rsid w:val="7FA124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3B7D07"/>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3">
    <w:name w:val="heading 3"/>
    <w:basedOn w:val="Normalny"/>
    <w:next w:val="Normalny"/>
    <w:link w:val="Nagwek3Znak"/>
    <w:semiHidden/>
    <w:unhideWhenUsed/>
    <w:qFormat/>
    <w:rsid w:val="00D935E5"/>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customStyle="1" w:styleId="USTustnpkodeksu">
    <w:name w:val="UST(§) – ust. (§ np. kodeksu)"/>
    <w:basedOn w:val="Normalny"/>
    <w:uiPriority w:val="12"/>
    <w:qFormat/>
    <w:rsid w:val="00EA0F9B"/>
    <w:pPr>
      <w:suppressAutoHyphens/>
      <w:autoSpaceDE w:val="0"/>
      <w:autoSpaceDN w:val="0"/>
      <w:adjustRightInd w:val="0"/>
      <w:spacing w:line="360" w:lineRule="auto"/>
      <w:ind w:firstLine="510"/>
      <w:jc w:val="both"/>
    </w:pPr>
    <w:rPr>
      <w:rFonts w:ascii="Times" w:hAnsi="Times" w:cs="Arial"/>
      <w:bCs/>
      <w:szCs w:val="20"/>
    </w:rPr>
  </w:style>
  <w:style w:type="character" w:styleId="Odwoaniedokomentarza">
    <w:name w:val="annotation reference"/>
    <w:basedOn w:val="Domylnaczcionkaakapitu"/>
    <w:rsid w:val="00C76B1B"/>
    <w:rPr>
      <w:sz w:val="16"/>
      <w:szCs w:val="16"/>
    </w:rPr>
  </w:style>
  <w:style w:type="paragraph" w:styleId="Tekstkomentarza">
    <w:name w:val="annotation text"/>
    <w:basedOn w:val="Normalny"/>
    <w:link w:val="TekstkomentarzaZnak"/>
    <w:rsid w:val="00C76B1B"/>
    <w:rPr>
      <w:sz w:val="20"/>
      <w:szCs w:val="20"/>
    </w:rPr>
  </w:style>
  <w:style w:type="character" w:customStyle="1" w:styleId="TekstkomentarzaZnak">
    <w:name w:val="Tekst komentarza Znak"/>
    <w:basedOn w:val="Domylnaczcionkaakapitu"/>
    <w:link w:val="Tekstkomentarza"/>
    <w:rsid w:val="00C76B1B"/>
  </w:style>
  <w:style w:type="paragraph" w:styleId="Tematkomentarza">
    <w:name w:val="annotation subject"/>
    <w:basedOn w:val="Tekstkomentarza"/>
    <w:next w:val="Tekstkomentarza"/>
    <w:link w:val="TematkomentarzaZnak"/>
    <w:rsid w:val="00C76B1B"/>
    <w:rPr>
      <w:b/>
      <w:bCs/>
    </w:rPr>
  </w:style>
  <w:style w:type="character" w:customStyle="1" w:styleId="TematkomentarzaZnak">
    <w:name w:val="Temat komentarza Znak"/>
    <w:basedOn w:val="TekstkomentarzaZnak"/>
    <w:link w:val="Tematkomentarza"/>
    <w:rsid w:val="00C76B1B"/>
    <w:rPr>
      <w:b/>
      <w:bCs/>
    </w:rPr>
  </w:style>
  <w:style w:type="character" w:styleId="Hipercze">
    <w:name w:val="Hyperlink"/>
    <w:uiPriority w:val="99"/>
    <w:rsid w:val="00681789"/>
    <w:rPr>
      <w:rFonts w:cs="Times New Roman"/>
      <w:color w:val="0000FF"/>
      <w:u w:val="single"/>
    </w:rPr>
  </w:style>
  <w:style w:type="paragraph" w:styleId="Tekstprzypisudolnego">
    <w:name w:val="footnote text"/>
    <w:basedOn w:val="Normalny"/>
    <w:link w:val="TekstprzypisudolnegoZnak"/>
    <w:uiPriority w:val="99"/>
    <w:unhideWhenUsed/>
    <w:rsid w:val="00681789"/>
    <w:pPr>
      <w:spacing w:after="200" w:line="276" w:lineRule="auto"/>
    </w:pPr>
    <w:rPr>
      <w:rFonts w:ascii="Calibri" w:hAnsi="Calibri"/>
      <w:sz w:val="20"/>
      <w:szCs w:val="20"/>
      <w:lang w:eastAsia="en-US"/>
    </w:rPr>
  </w:style>
  <w:style w:type="character" w:customStyle="1" w:styleId="TekstprzypisudolnegoZnak">
    <w:name w:val="Tekst przypisu dolnego Znak"/>
    <w:basedOn w:val="Domylnaczcionkaakapitu"/>
    <w:link w:val="Tekstprzypisudolnego"/>
    <w:uiPriority w:val="99"/>
    <w:rsid w:val="00681789"/>
    <w:rPr>
      <w:rFonts w:ascii="Calibri" w:hAnsi="Calibri"/>
      <w:lang w:eastAsia="en-US"/>
    </w:rPr>
  </w:style>
  <w:style w:type="character" w:styleId="Odwoanieprzypisudolnego">
    <w:name w:val="footnote reference"/>
    <w:uiPriority w:val="99"/>
    <w:unhideWhenUsed/>
    <w:rsid w:val="00681789"/>
    <w:rPr>
      <w:vertAlign w:val="superscript"/>
    </w:rPr>
  </w:style>
  <w:style w:type="character" w:customStyle="1" w:styleId="normaltextrun">
    <w:name w:val="normaltextrun"/>
    <w:basedOn w:val="Domylnaczcionkaakapitu"/>
    <w:rsid w:val="00A478AC"/>
  </w:style>
  <w:style w:type="paragraph" w:styleId="Nagwek">
    <w:name w:val="header"/>
    <w:basedOn w:val="Normalny"/>
    <w:link w:val="NagwekZnak"/>
    <w:rsid w:val="000D57C9"/>
    <w:pPr>
      <w:tabs>
        <w:tab w:val="center" w:pos="4536"/>
        <w:tab w:val="right" w:pos="9072"/>
      </w:tabs>
    </w:pPr>
  </w:style>
  <w:style w:type="character" w:customStyle="1" w:styleId="NagwekZnak">
    <w:name w:val="Nagłówek Znak"/>
    <w:basedOn w:val="Domylnaczcionkaakapitu"/>
    <w:link w:val="Nagwek"/>
    <w:rsid w:val="000D57C9"/>
    <w:rPr>
      <w:sz w:val="24"/>
      <w:szCs w:val="24"/>
    </w:rPr>
  </w:style>
  <w:style w:type="paragraph" w:styleId="Stopka">
    <w:name w:val="footer"/>
    <w:basedOn w:val="Normalny"/>
    <w:link w:val="StopkaZnak"/>
    <w:rsid w:val="000D57C9"/>
    <w:pPr>
      <w:tabs>
        <w:tab w:val="center" w:pos="4536"/>
        <w:tab w:val="right" w:pos="9072"/>
      </w:tabs>
    </w:pPr>
  </w:style>
  <w:style w:type="character" w:customStyle="1" w:styleId="StopkaZnak">
    <w:name w:val="Stopka Znak"/>
    <w:basedOn w:val="Domylnaczcionkaakapitu"/>
    <w:link w:val="Stopka"/>
    <w:rsid w:val="000D57C9"/>
    <w:rPr>
      <w:sz w:val="24"/>
      <w:szCs w:val="24"/>
    </w:rPr>
  </w:style>
  <w:style w:type="paragraph" w:styleId="Poprawka">
    <w:name w:val="Revision"/>
    <w:hidden/>
    <w:uiPriority w:val="99"/>
    <w:semiHidden/>
    <w:rsid w:val="00C205DF"/>
    <w:rPr>
      <w:sz w:val="24"/>
      <w:szCs w:val="24"/>
    </w:rPr>
  </w:style>
  <w:style w:type="paragraph" w:styleId="Akapitzlist">
    <w:name w:val="List Paragraph"/>
    <w:basedOn w:val="Normalny"/>
    <w:uiPriority w:val="34"/>
    <w:qFormat/>
    <w:rsid w:val="005B03EE"/>
    <w:pPr>
      <w:ind w:left="720"/>
      <w:contextualSpacing/>
    </w:pPr>
  </w:style>
  <w:style w:type="character" w:customStyle="1" w:styleId="Nagwek3Znak">
    <w:name w:val="Nagłówek 3 Znak"/>
    <w:basedOn w:val="Domylnaczcionkaakapitu"/>
    <w:link w:val="Nagwek3"/>
    <w:semiHidden/>
    <w:rsid w:val="00D935E5"/>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27151">
      <w:bodyDiv w:val="1"/>
      <w:marLeft w:val="0"/>
      <w:marRight w:val="0"/>
      <w:marTop w:val="0"/>
      <w:marBottom w:val="0"/>
      <w:divBdr>
        <w:top w:val="none" w:sz="0" w:space="0" w:color="auto"/>
        <w:left w:val="none" w:sz="0" w:space="0" w:color="auto"/>
        <w:bottom w:val="none" w:sz="0" w:space="0" w:color="auto"/>
        <w:right w:val="none" w:sz="0" w:space="0" w:color="auto"/>
      </w:divBdr>
    </w:div>
    <w:div w:id="264383018">
      <w:bodyDiv w:val="1"/>
      <w:marLeft w:val="0"/>
      <w:marRight w:val="0"/>
      <w:marTop w:val="0"/>
      <w:marBottom w:val="0"/>
      <w:divBdr>
        <w:top w:val="none" w:sz="0" w:space="0" w:color="auto"/>
        <w:left w:val="none" w:sz="0" w:space="0" w:color="auto"/>
        <w:bottom w:val="none" w:sz="0" w:space="0" w:color="auto"/>
        <w:right w:val="none" w:sz="0" w:space="0" w:color="auto"/>
      </w:divBdr>
    </w:div>
    <w:div w:id="853499146">
      <w:bodyDiv w:val="1"/>
      <w:marLeft w:val="0"/>
      <w:marRight w:val="0"/>
      <w:marTop w:val="0"/>
      <w:marBottom w:val="0"/>
      <w:divBdr>
        <w:top w:val="none" w:sz="0" w:space="0" w:color="auto"/>
        <w:left w:val="none" w:sz="0" w:space="0" w:color="auto"/>
        <w:bottom w:val="none" w:sz="0" w:space="0" w:color="auto"/>
        <w:right w:val="none" w:sz="0" w:space="0" w:color="auto"/>
      </w:divBdr>
    </w:div>
    <w:div w:id="1701928838">
      <w:bodyDiv w:val="1"/>
      <w:marLeft w:val="0"/>
      <w:marRight w:val="0"/>
      <w:marTop w:val="0"/>
      <w:marBottom w:val="0"/>
      <w:divBdr>
        <w:top w:val="none" w:sz="0" w:space="0" w:color="auto"/>
        <w:left w:val="none" w:sz="0" w:space="0" w:color="auto"/>
        <w:bottom w:val="none" w:sz="0" w:space="0" w:color="auto"/>
        <w:right w:val="none" w:sz="0" w:space="0" w:color="auto"/>
      </w:divBdr>
    </w:div>
    <w:div w:id="1738700854">
      <w:bodyDiv w:val="1"/>
      <w:marLeft w:val="0"/>
      <w:marRight w:val="0"/>
      <w:marTop w:val="0"/>
      <w:marBottom w:val="0"/>
      <w:divBdr>
        <w:top w:val="none" w:sz="0" w:space="0" w:color="auto"/>
        <w:left w:val="none" w:sz="0" w:space="0" w:color="auto"/>
        <w:bottom w:val="none" w:sz="0" w:space="0" w:color="auto"/>
        <w:right w:val="none" w:sz="0" w:space="0" w:color="auto"/>
      </w:divBdr>
    </w:div>
    <w:div w:id="2046589350">
      <w:bodyDiv w:val="1"/>
      <w:marLeft w:val="0"/>
      <w:marRight w:val="0"/>
      <w:marTop w:val="0"/>
      <w:marBottom w:val="0"/>
      <w:divBdr>
        <w:top w:val="none" w:sz="0" w:space="0" w:color="auto"/>
        <w:left w:val="none" w:sz="0" w:space="0" w:color="auto"/>
        <w:bottom w:val="none" w:sz="0" w:space="0" w:color="auto"/>
        <w:right w:val="none" w:sz="0" w:space="0" w:color="auto"/>
      </w:divBdr>
    </w:div>
    <w:div w:id="2067103721">
      <w:bodyDiv w:val="1"/>
      <w:marLeft w:val="0"/>
      <w:marRight w:val="0"/>
      <w:marTop w:val="0"/>
      <w:marBottom w:val="0"/>
      <w:divBdr>
        <w:top w:val="none" w:sz="0" w:space="0" w:color="auto"/>
        <w:left w:val="none" w:sz="0" w:space="0" w:color="auto"/>
        <w:bottom w:val="none" w:sz="0" w:space="0" w:color="auto"/>
        <w:right w:val="none" w:sz="0" w:space="0" w:color="auto"/>
      </w:divBdr>
      <w:divsChild>
        <w:div w:id="972249852">
          <w:marLeft w:val="0"/>
          <w:marRight w:val="0"/>
          <w:marTop w:val="0"/>
          <w:marBottom w:val="0"/>
          <w:divBdr>
            <w:top w:val="none" w:sz="0" w:space="0" w:color="auto"/>
            <w:left w:val="none" w:sz="0" w:space="0" w:color="auto"/>
            <w:bottom w:val="none" w:sz="0" w:space="0" w:color="auto"/>
            <w:right w:val="none" w:sz="0" w:space="0" w:color="auto"/>
          </w:divBdr>
        </w:div>
        <w:div w:id="5249504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F6E13AC783CDB438E47BBE8E6BA8A05" ma:contentTypeVersion="2" ma:contentTypeDescription="Utwórz nowy dokument." ma:contentTypeScope="" ma:versionID="d5cc6ed15eb28dc8e1be14e554dbb8c1">
  <xsd:schema xmlns:xsd="http://www.w3.org/2001/XMLSchema" xmlns:xs="http://www.w3.org/2001/XMLSchema" xmlns:p="http://schemas.microsoft.com/office/2006/metadata/properties" xmlns:ns2="21e96d53-3bd9-4529-ac11-b7be00f7ccab" targetNamespace="http://schemas.microsoft.com/office/2006/metadata/properties" ma:root="true" ma:fieldsID="2333374bd81d8568bc0e6ce32fbe492b" ns2:_="">
    <xsd:import namespace="21e96d53-3bd9-4529-ac11-b7be00f7cca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96d53-3bd9-4529-ac11-b7be00f7cc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53E6D17-3219-4696-99A4-CB58D38955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96d53-3bd9-4529-ac11-b7be00f7cc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1EB1B2-7915-4B9D-9FF2-AD77A8125406}">
  <ds:schemaRefs>
    <ds:schemaRef ds:uri="http://schemas.microsoft.com/sharepoint/v3/contenttype/forms"/>
  </ds:schemaRefs>
</ds:datastoreItem>
</file>

<file path=customXml/itemProps3.xml><?xml version="1.0" encoding="utf-8"?>
<ds:datastoreItem xmlns:ds="http://schemas.openxmlformats.org/officeDocument/2006/customXml" ds:itemID="{62960F27-B96B-4EB7-9F5B-67F0874085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6</Pages>
  <Words>1786</Words>
  <Characters>10719</Characters>
  <Application>Microsoft Office Word</Application>
  <DocSecurity>0</DocSecurity>
  <Lines>89</Lines>
  <Paragraphs>24</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12481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Markowska Anna</cp:lastModifiedBy>
  <cp:revision>9</cp:revision>
  <dcterms:created xsi:type="dcterms:W3CDTF">2022-05-26T13:11:00Z</dcterms:created>
  <dcterms:modified xsi:type="dcterms:W3CDTF">2022-06-17T07:58:00Z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0x0101003F6E13AC783CDB438E47BBE8E6BA8A05</vt:lpwstr>
  </property>
</Properties>
</file>